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C5F9B">
      <w:pPr>
        <w:pStyle w:val="6"/>
        <w:spacing w:before="0" w:after="0" w:line="440" w:lineRule="exact"/>
        <w:ind w:firstLine="723" w:firstLineChars="200"/>
        <w:rPr>
          <w:rFonts w:hint="eastAsia" w:ascii="宋体" w:hAnsi="宋体" w:cs="宋体"/>
          <w:sz w:val="36"/>
          <w:szCs w:val="36"/>
          <w:lang w:eastAsia="zh-CN"/>
        </w:rPr>
      </w:pPr>
      <w:bookmarkStart w:id="9" w:name="_GoBack"/>
      <w:bookmarkEnd w:id="9"/>
      <w:r>
        <w:rPr>
          <w:rFonts w:hint="eastAsia" w:ascii="宋体" w:hAnsi="宋体" w:cs="宋体"/>
          <w:sz w:val="36"/>
          <w:szCs w:val="36"/>
          <w:lang w:eastAsia="zh-CN"/>
        </w:rPr>
        <w:t>泉州市海洋与渔业监测中心义全街实验室修缮项目二次询价采购方案</w:t>
      </w:r>
    </w:p>
    <w:p w14:paraId="375C1A6D">
      <w:pPr>
        <w:rPr>
          <w:rFonts w:hint="eastAsia"/>
          <w:lang w:eastAsia="zh-CN"/>
        </w:rPr>
      </w:pPr>
    </w:p>
    <w:p w14:paraId="3504A964">
      <w:pPr>
        <w:pStyle w:val="4"/>
        <w:spacing w:line="360" w:lineRule="auto"/>
        <w:ind w:firstLine="480" w:firstLineChars="200"/>
        <w:jc w:val="left"/>
        <w:rPr>
          <w:rFonts w:hint="eastAsia" w:ascii="宋体" w:hAnsi="宋体" w:cs="宋体"/>
          <w:b/>
          <w:bCs/>
          <w:sz w:val="24"/>
        </w:rPr>
      </w:pPr>
      <w:r>
        <w:rPr>
          <w:rFonts w:hint="eastAsia" w:hAnsi="宋体" w:cs="宋体"/>
          <w:sz w:val="24"/>
          <w:szCs w:val="24"/>
        </w:rPr>
        <w:t>对</w:t>
      </w:r>
      <w:r>
        <w:rPr>
          <w:rFonts w:hint="eastAsia" w:hAnsi="宋体" w:cs="宋体"/>
          <w:sz w:val="24"/>
          <w:szCs w:val="24"/>
          <w:u w:val="single"/>
        </w:rPr>
        <w:t>义全街实验室修缮</w:t>
      </w:r>
      <w:r>
        <w:rPr>
          <w:rFonts w:hint="eastAsia" w:hAnsi="宋体" w:cs="宋体"/>
          <w:sz w:val="24"/>
          <w:szCs w:val="24"/>
        </w:rPr>
        <w:t>项目</w:t>
      </w:r>
      <w:r>
        <w:rPr>
          <w:rFonts w:hint="eastAsia" w:hAnsi="宋体" w:cs="宋体"/>
          <w:sz w:val="24"/>
          <w:szCs w:val="24"/>
          <w:lang w:eastAsia="zh-CN"/>
        </w:rPr>
        <w:t>二次询价采购</w:t>
      </w:r>
      <w:r>
        <w:rPr>
          <w:rFonts w:hint="eastAsia" w:hAnsi="宋体" w:cs="宋体"/>
          <w:sz w:val="24"/>
          <w:szCs w:val="24"/>
        </w:rPr>
        <w:t>，现欢迎符合要求的</w:t>
      </w:r>
      <w:r>
        <w:rPr>
          <w:rFonts w:hint="eastAsia" w:hAnsi="宋体" w:cs="宋体"/>
          <w:sz w:val="24"/>
          <w:szCs w:val="24"/>
          <w:lang w:val="en-US" w:eastAsia="zh-CN"/>
        </w:rPr>
        <w:t>2家及以上</w:t>
      </w:r>
      <w:r>
        <w:rPr>
          <w:rFonts w:hint="eastAsia" w:hAnsi="宋体" w:cs="宋体"/>
          <w:sz w:val="24"/>
          <w:szCs w:val="24"/>
        </w:rPr>
        <w:t>供应商前来提交密封的响应文件</w:t>
      </w:r>
      <w:r>
        <w:rPr>
          <w:rFonts w:hint="eastAsia" w:hAnsi="宋体" w:cs="宋体"/>
          <w:sz w:val="24"/>
          <w:szCs w:val="24"/>
          <w:lang w:eastAsia="zh-CN"/>
        </w:rPr>
        <w:t>（</w:t>
      </w:r>
      <w:r>
        <w:rPr>
          <w:rFonts w:hint="eastAsia" w:ascii="宋体" w:hAnsi="宋体" w:eastAsia="宋体" w:cs="宋体"/>
          <w:sz w:val="24"/>
          <w:szCs w:val="24"/>
          <w:lang w:eastAsia="zh-CN"/>
        </w:rPr>
        <w:t>依据闽财购</w:t>
      </w:r>
      <w:r>
        <w:rPr>
          <w:rFonts w:hint="eastAsia" w:ascii="宋体" w:hAnsi="宋体" w:eastAsia="宋体" w:cs="宋体"/>
          <w:sz w:val="24"/>
          <w:szCs w:val="24"/>
          <w:lang w:val="en-US" w:eastAsia="zh-CN"/>
        </w:rPr>
        <w:t>[2016]67号文件约定：依法直接采用竞争性谈判采购方式流（废）标的货物、服务项目及竞争性磋商采购方式流标的服务项目，未变更采购方式或经过财政部门批准变更采购方式的，在组织新一轮竞争性磋商采购时，采购过程中提交投标文件或者经评审实质性响应招标文件要求的供应商只有两家时，可以直接组织与该两家供应商进行竞争性谈判或竞争性磋商采购）。</w:t>
      </w:r>
    </w:p>
    <w:p w14:paraId="5FEA983E">
      <w:pPr>
        <w:snapToGrid w:val="0"/>
        <w:spacing w:line="440" w:lineRule="exact"/>
        <w:ind w:firstLine="482" w:firstLineChars="200"/>
        <w:rPr>
          <w:rFonts w:hint="eastAsia" w:ascii="宋体" w:hAnsi="宋体" w:cs="宋体"/>
          <w:b/>
          <w:bCs/>
          <w:sz w:val="24"/>
        </w:rPr>
      </w:pPr>
      <w:r>
        <w:rPr>
          <w:rFonts w:hint="eastAsia" w:ascii="宋体" w:hAnsi="宋体" w:cs="宋体"/>
          <w:b/>
          <w:bCs/>
          <w:sz w:val="24"/>
        </w:rPr>
        <w:t>一、</w:t>
      </w:r>
      <w:r>
        <w:rPr>
          <w:rFonts w:hint="eastAsia" w:ascii="宋体" w:hAnsi="宋体" w:cs="宋体"/>
          <w:b/>
          <w:sz w:val="24"/>
        </w:rPr>
        <w:t>项目概述</w:t>
      </w:r>
    </w:p>
    <w:p w14:paraId="30D1AE2C">
      <w:pPr>
        <w:pStyle w:val="7"/>
      </w:pPr>
      <w:r>
        <w:t>1、本项目为</w:t>
      </w:r>
      <w:r>
        <w:rPr>
          <w:rFonts w:hint="eastAsia" w:cs="宋体"/>
          <w:szCs w:val="24"/>
          <w:u w:val="single"/>
        </w:rPr>
        <w:t>义全街实验室修缮</w:t>
      </w:r>
      <w:r>
        <w:rPr>
          <w:rFonts w:hint="eastAsia" w:cs="宋体"/>
          <w:szCs w:val="24"/>
          <w:u w:val="single"/>
          <w:lang w:eastAsia="zh-CN"/>
        </w:rPr>
        <w:t>项目（二次）。</w:t>
      </w:r>
      <w:r>
        <w:rPr>
          <w:rFonts w:hint="eastAsia"/>
        </w:rPr>
        <w:t xml:space="preserve">                  </w:t>
      </w:r>
    </w:p>
    <w:p w14:paraId="02555A6F">
      <w:pPr>
        <w:pStyle w:val="7"/>
      </w:pPr>
      <w:r>
        <w:t>2、响应报价计算依据</w:t>
      </w:r>
      <w:r>
        <w:rPr>
          <w:rFonts w:hint="eastAsia"/>
        </w:rPr>
        <w:t>采购</w:t>
      </w:r>
      <w:r>
        <w:t>文件。施工时价格按成交供应商的报价，不予变动，成交供应商应无条件执行。</w:t>
      </w:r>
    </w:p>
    <w:p w14:paraId="1A5FE27B">
      <w:pPr>
        <w:pStyle w:val="7"/>
      </w:pPr>
      <w:r>
        <w:t>3、本项目最高限价</w:t>
      </w:r>
      <w:r>
        <w:rPr>
          <w:rFonts w:hint="eastAsia"/>
          <w:b/>
          <w:bCs/>
          <w:color w:val="auto"/>
          <w:u w:val="single"/>
          <w:lang w:val="en-US" w:eastAsia="zh-CN"/>
        </w:rPr>
        <w:t>26000</w:t>
      </w:r>
      <w:r>
        <w:rPr>
          <w:rFonts w:hint="eastAsia"/>
          <w:b/>
          <w:bCs/>
          <w:color w:val="auto"/>
          <w:u w:val="single"/>
        </w:rPr>
        <w:t>元</w:t>
      </w:r>
      <w:r>
        <w:rPr>
          <w:rFonts w:hint="eastAsia"/>
          <w:b/>
          <w:bCs/>
          <w:color w:val="auto"/>
        </w:rPr>
        <w:t>。</w:t>
      </w:r>
      <w:r>
        <w:t>供应商报价不得超出采购文件规定的最高限价。</w:t>
      </w:r>
    </w:p>
    <w:p w14:paraId="2D71FAC4">
      <w:pPr>
        <w:pStyle w:val="7"/>
      </w:pPr>
      <w:r>
        <w:rPr>
          <w:rFonts w:hint="eastAsia"/>
          <w:lang w:val="en-US" w:eastAsia="zh-CN"/>
        </w:rPr>
        <w:t>4</w:t>
      </w:r>
      <w:r>
        <w:t>、施工材料如需人工转运至施工现场的，所产生的相关费用由供应商自行承担。</w:t>
      </w:r>
    </w:p>
    <w:p w14:paraId="54525A09">
      <w:pPr>
        <w:pStyle w:val="7"/>
      </w:pPr>
      <w:r>
        <w:rPr>
          <w:rFonts w:hint="eastAsia"/>
          <w:lang w:val="en-US" w:eastAsia="zh-CN"/>
        </w:rPr>
        <w:t>5</w:t>
      </w:r>
      <w:r>
        <w:t>、供应商应按工程量清单逐项填报单价、合价和总报价，若有涉及货物的，须明确体现货物的品牌、型号、规格、数量，否则视为默认按采购人要求的货物品牌、型号、规格、数量进行供货。供应商不得任意增减或修改工程量清单中的项目或数量(包括采购人提供的工程量清单中，已列出详细数量的措施项目),否则按无效文件处理。</w:t>
      </w:r>
    </w:p>
    <w:p w14:paraId="213F6261">
      <w:pPr>
        <w:pStyle w:val="7"/>
      </w:pPr>
      <w:r>
        <w:rPr>
          <w:rFonts w:hint="eastAsia"/>
          <w:lang w:val="en-US" w:eastAsia="zh-CN"/>
        </w:rPr>
        <w:t>6</w:t>
      </w:r>
      <w:r>
        <w:rPr>
          <w:rFonts w:hint="eastAsia"/>
        </w:rPr>
        <w:t>、</w:t>
      </w:r>
      <w:r>
        <w:t>供应商可自行对施工现场和周围环境进行勘察，以获取编制响应文件所需的资料。勘察现场所发生的费用由供应商自己承担。采购人向供应商提供的有关项目的资料和数据，是采购人现有的能使供应商利用的参考资料。采购人对供应商由此而做出的推论、理解和结论概不负责。供应商因自身原因未到项目现场实地踏勘的，成交后签订合同时和履约过程中，供应商不得以不完全了解现场情况为由，提出任何形式的增加工程造价或索赔的要求。</w:t>
      </w:r>
    </w:p>
    <w:p w14:paraId="13EA9B12">
      <w:pPr>
        <w:numPr>
          <w:ilvl w:val="0"/>
          <w:numId w:val="0"/>
        </w:numPr>
        <w:spacing w:line="360" w:lineRule="auto"/>
        <w:rPr>
          <w:rFonts w:ascii="宋体" w:hAnsi="宋体" w:eastAsia="宋体" w:cs="Times New Roman"/>
          <w:kern w:val="2"/>
          <w:sz w:val="24"/>
          <w:szCs w:val="21"/>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w:t>
      </w:r>
      <w:r>
        <w:rPr>
          <w:rFonts w:hint="eastAsia" w:ascii="宋体" w:hAnsi="宋体" w:cs="Times New Roman"/>
          <w:kern w:val="2"/>
          <w:sz w:val="24"/>
          <w:szCs w:val="21"/>
          <w:lang w:val="en-US" w:eastAsia="zh-CN" w:bidi="ar-SA"/>
        </w:rPr>
        <w:t>7、</w:t>
      </w:r>
      <w:r>
        <w:rPr>
          <w:rFonts w:hint="eastAsia" w:ascii="宋体" w:hAnsi="宋体" w:eastAsia="宋体" w:cs="Times New Roman"/>
          <w:kern w:val="2"/>
          <w:sz w:val="24"/>
          <w:szCs w:val="21"/>
          <w:lang w:val="en-US" w:eastAsia="zh-CN" w:bidi="ar-SA"/>
        </w:rPr>
        <w:t>总报价应包括但不限于产品及材料的价格、设计费、装修施工费、运输费、搬运费、安装费、水电费、保管费、质量保修期内的维护费用、劳保费、安全文明施工费、临时设施费、调试费、验收费、现场清理费、技术服务费、培训费、保险费、检验（包括海关、商检等）、税费、服务费以及所有不可预见的费用（供应商可在分项报价表中详细列出报价，如果所列分项报价不含以上内容，则视为已含在总价中）。</w:t>
      </w:r>
    </w:p>
    <w:p w14:paraId="51018861">
      <w:pPr>
        <w:widowControl/>
        <w:spacing w:line="560" w:lineRule="exact"/>
        <w:ind w:firstLine="482" w:firstLineChars="200"/>
        <w:textAlignment w:val="bottom"/>
        <w:rPr>
          <w:rFonts w:hint="eastAsia" w:ascii="宋体" w:hAnsi="宋体" w:cs="宋体"/>
          <w:b/>
          <w:bCs/>
          <w:sz w:val="24"/>
        </w:rPr>
      </w:pPr>
      <w:r>
        <w:rPr>
          <w:rFonts w:hint="eastAsia" w:ascii="宋体" w:hAnsi="宋体" w:cs="宋体"/>
          <w:b/>
          <w:bCs/>
          <w:sz w:val="24"/>
          <w:lang w:eastAsia="zh-CN"/>
        </w:rPr>
        <w:t>二、</w:t>
      </w:r>
      <w:r>
        <w:rPr>
          <w:rFonts w:hint="eastAsia" w:ascii="宋体" w:hAnsi="宋体" w:cs="宋体"/>
          <w:b/>
          <w:bCs/>
          <w:sz w:val="24"/>
        </w:rPr>
        <w:t>供应商资格标准：</w:t>
      </w:r>
    </w:p>
    <w:p w14:paraId="2EE535C9">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（1）凡有能力提供本询价采购文件所述工程的供应商均可能成为合格的供应商。</w:t>
      </w:r>
    </w:p>
    <w:p w14:paraId="650F9F8C">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bookmarkStart w:id="0" w:name="OLE_LINK6"/>
      <w:r>
        <w:rPr>
          <w:rFonts w:hint="eastAsia" w:ascii="宋体" w:hAnsi="宋体" w:eastAsia="宋体" w:cs="Times New Roman"/>
          <w:kern w:val="2"/>
          <w:sz w:val="24"/>
          <w:szCs w:val="21"/>
          <w:lang w:val="en-US" w:eastAsia="zh-CN" w:bidi="ar-SA"/>
        </w:rPr>
        <w:t>（2）</w:t>
      </w:r>
      <w:bookmarkEnd w:id="0"/>
      <w:r>
        <w:rPr>
          <w:rFonts w:hint="eastAsia" w:ascii="宋体" w:hAnsi="宋体" w:eastAsia="宋体" w:cs="Times New Roman"/>
          <w:kern w:val="2"/>
          <w:sz w:val="24"/>
          <w:szCs w:val="21"/>
          <w:lang w:val="en-US" w:eastAsia="zh-CN" w:bidi="ar-SA"/>
        </w:rPr>
        <w:t>供应商应符合《中华人民共和国政府采购法》第二十二条规定条件，并提交以下资质证明文件：</w:t>
      </w:r>
    </w:p>
    <w:p w14:paraId="0F13DD2F">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①有效营业执照复印件；</w:t>
      </w:r>
    </w:p>
    <w:p w14:paraId="2A7A7333">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②单位负责人授权书原件 (若供应商代表与单位负责人为同一人，无需提供此件)；</w:t>
      </w:r>
    </w:p>
    <w:p w14:paraId="034204D5">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③单位负责人及供应商代表身份证（正、反面）复印件；</w:t>
      </w:r>
    </w:p>
    <w:p w14:paraId="475C7291">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④具备履行合同所必需的设备和专业技术能力的声明函；</w:t>
      </w:r>
    </w:p>
    <w:p w14:paraId="6E4C505C">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⑤参加本项目询价采购活动前3年内在经营活动中没有重大违法记录的书面声明。</w:t>
      </w:r>
    </w:p>
    <w:p w14:paraId="7708DAB3">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⑥</w:t>
      </w:r>
      <w:r>
        <w:rPr>
          <w:rFonts w:hint="eastAsia" w:ascii="宋体" w:hAnsi="宋体" w:eastAsia="宋体" w:cs="Times New Roman"/>
          <w:kern w:val="2"/>
          <w:sz w:val="24"/>
          <w:szCs w:val="21"/>
          <w:lang w:val="en-US" w:eastAsia="zh-CN" w:bidi="ar-SA"/>
        </w:rPr>
        <w:t>参加本项目询价采购活动前3年内在经营活动中无行贿犯罪承诺函。</w:t>
      </w:r>
    </w:p>
    <w:p w14:paraId="61F591A6">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⑦</w:t>
      </w:r>
      <w:r>
        <w:rPr>
          <w:rFonts w:hint="eastAsia" w:ascii="宋体" w:hAnsi="宋体" w:eastAsia="宋体" w:cs="Times New Roman"/>
          <w:kern w:val="2"/>
          <w:sz w:val="24"/>
          <w:szCs w:val="21"/>
          <w:lang w:val="en-US" w:eastAsia="zh-CN" w:bidi="ar-SA"/>
        </w:rPr>
        <w:t>根据《财政部关于在政府采购活动中查询及使用信用记录有关问题的通知》（财库【2016】125号）有关规定，供应商须提供参加政府采购活动前3年内在经营活动中无不良信用记录的书面声明。</w:t>
      </w:r>
    </w:p>
    <w:p w14:paraId="14E49B4B">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w:t>
      </w:r>
      <w:r>
        <w:rPr>
          <w:rFonts w:hint="eastAsia" w:ascii="宋体" w:hAnsi="宋体" w:cs="Times New Roman"/>
          <w:kern w:val="2"/>
          <w:sz w:val="24"/>
          <w:szCs w:val="21"/>
          <w:lang w:val="en-US" w:eastAsia="zh-CN" w:bidi="ar-SA"/>
        </w:rPr>
        <w:t>3</w:t>
      </w:r>
      <w:r>
        <w:rPr>
          <w:rFonts w:hint="eastAsia" w:ascii="宋体" w:hAnsi="宋体" w:eastAsia="宋体" w:cs="Times New Roman"/>
          <w:kern w:val="2"/>
          <w:sz w:val="24"/>
          <w:szCs w:val="21"/>
          <w:lang w:val="en-US" w:eastAsia="zh-CN" w:bidi="ar-SA"/>
        </w:rPr>
        <w:t>）本项目不接受联合体报价。</w:t>
      </w:r>
    </w:p>
    <w:p w14:paraId="7151C2EC">
      <w:pPr>
        <w:widowControl/>
        <w:spacing w:line="560" w:lineRule="exact"/>
        <w:ind w:firstLine="482" w:firstLineChars="200"/>
        <w:textAlignment w:val="bottom"/>
        <w:rPr>
          <w:rFonts w:hint="eastAsia" w:ascii="宋体" w:hAnsi="宋体" w:cs="宋体"/>
          <w:b/>
          <w:bCs/>
          <w:sz w:val="24"/>
        </w:rPr>
      </w:pPr>
      <w:r>
        <w:rPr>
          <w:rFonts w:hint="eastAsia" w:ascii="宋体" w:hAnsi="宋体" w:cs="宋体"/>
          <w:b/>
          <w:bCs/>
          <w:sz w:val="24"/>
          <w:lang w:eastAsia="zh-CN"/>
        </w:rPr>
        <w:t>三</w:t>
      </w:r>
      <w:r>
        <w:rPr>
          <w:rFonts w:hint="eastAsia" w:ascii="宋体" w:hAnsi="宋体" w:cs="宋体"/>
          <w:b/>
          <w:bCs/>
          <w:sz w:val="24"/>
        </w:rPr>
        <w:t>、技术和服务要求</w:t>
      </w:r>
    </w:p>
    <w:p w14:paraId="13F69ECD">
      <w:pPr>
        <w:pStyle w:val="7"/>
        <w:ind w:firstLine="480" w:firstLineChars="200"/>
        <w:jc w:val="center"/>
        <w:rPr>
          <w:rFonts w:hint="eastAsia" w:eastAsia="宋体" w:cs="宋体"/>
          <w:b/>
          <w:bCs/>
          <w:lang w:eastAsia="zh-CN"/>
        </w:rPr>
      </w:pPr>
      <w:r>
        <w:rPr>
          <w:rFonts w:hint="eastAsia" w:cs="宋体"/>
          <w:szCs w:val="24"/>
          <w:lang w:eastAsia="zh-CN"/>
        </w:rPr>
        <w:t>泉州市海洋与渔业</w:t>
      </w:r>
      <w:r>
        <w:rPr>
          <w:rFonts w:hint="eastAsia" w:eastAsia="宋体" w:cs="宋体"/>
          <w:szCs w:val="24"/>
          <w:lang w:eastAsia="zh-CN"/>
        </w:rPr>
        <w:t>监测中心</w:t>
      </w:r>
      <w:r>
        <w:rPr>
          <w:rFonts w:hint="eastAsia" w:eastAsia="宋体" w:cs="宋体"/>
          <w:szCs w:val="24"/>
        </w:rPr>
        <w:t>义</w:t>
      </w:r>
      <w:r>
        <w:rPr>
          <w:rFonts w:hint="eastAsia" w:cs="宋体"/>
          <w:szCs w:val="24"/>
        </w:rPr>
        <w:t>全街实验室修缮</w:t>
      </w:r>
      <w:r>
        <w:rPr>
          <w:rFonts w:hint="eastAsia" w:cs="宋体"/>
          <w:szCs w:val="24"/>
          <w:lang w:eastAsia="zh-CN"/>
        </w:rPr>
        <w:t>（二次）</w:t>
      </w:r>
    </w:p>
    <w:tbl>
      <w:tblPr>
        <w:tblStyle w:val="8"/>
        <w:tblpPr w:leftFromText="180" w:rightFromText="180" w:vertAnchor="text" w:horzAnchor="page" w:tblpX="874" w:tblpY="470"/>
        <w:tblOverlap w:val="never"/>
        <w:tblW w:w="10250" w:type="dxa"/>
        <w:tblInd w:w="0" w:type="dxa"/>
        <w:tblLayout w:type="autofit"/>
        <w:tblCellMar>
          <w:top w:w="0" w:type="dxa"/>
          <w:left w:w="0" w:type="dxa"/>
          <w:bottom w:w="0" w:type="dxa"/>
          <w:right w:w="0" w:type="dxa"/>
        </w:tblCellMar>
      </w:tblPr>
      <w:tblGrid>
        <w:gridCol w:w="554"/>
        <w:gridCol w:w="5196"/>
        <w:gridCol w:w="1050"/>
        <w:gridCol w:w="790"/>
        <w:gridCol w:w="2660"/>
      </w:tblGrid>
      <w:tr w14:paraId="5437CFF3">
        <w:tblPrEx>
          <w:tblCellMar>
            <w:top w:w="0" w:type="dxa"/>
            <w:left w:w="0" w:type="dxa"/>
            <w:bottom w:w="0" w:type="dxa"/>
            <w:right w:w="0" w:type="dxa"/>
          </w:tblCellMar>
        </w:tblPrEx>
        <w:trPr>
          <w:trHeight w:val="479"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107C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A157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内容</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8311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3063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数</w:t>
            </w:r>
            <w:r>
              <w:rPr>
                <w:rFonts w:hint="eastAsia" w:ascii="宋体" w:hAnsi="宋体" w:eastAsia="宋体" w:cs="宋体"/>
                <w:kern w:val="2"/>
                <w:sz w:val="24"/>
                <w:szCs w:val="24"/>
                <w:lang w:val="en-US" w:eastAsia="zh-CN" w:bidi="ar-SA"/>
              </w:rPr>
              <w:t>量</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A1FC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备注</w:t>
            </w:r>
          </w:p>
        </w:tc>
      </w:tr>
      <w:tr w14:paraId="09FA847A">
        <w:tblPrEx>
          <w:tblCellMar>
            <w:top w:w="0" w:type="dxa"/>
            <w:left w:w="0" w:type="dxa"/>
            <w:bottom w:w="0" w:type="dxa"/>
            <w:right w:w="0" w:type="dxa"/>
          </w:tblCellMar>
        </w:tblPrEx>
        <w:trPr>
          <w:trHeight w:val="45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6D05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ECB2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一楼卫生间吊顶</w:t>
            </w:r>
            <w:r>
              <w:rPr>
                <w:rFonts w:hint="eastAsia" w:ascii="宋体" w:hAnsi="宋体" w:eastAsia="宋体" w:cs="宋体"/>
                <w:kern w:val="2"/>
                <w:sz w:val="24"/>
                <w:szCs w:val="24"/>
                <w:lang w:val="en-US" w:eastAsia="zh-CN" w:bidi="ar-SA"/>
              </w:rPr>
              <w:t>300*300铝扣板</w:t>
            </w:r>
            <w:r>
              <w:rPr>
                <w:rFonts w:hint="eastAsia" w:ascii="宋体" w:hAnsi="宋体" w:cs="宋体"/>
                <w:kern w:val="2"/>
                <w:sz w:val="24"/>
                <w:szCs w:val="24"/>
                <w:lang w:val="en-US" w:eastAsia="zh-CN" w:bidi="ar-SA"/>
              </w:rPr>
              <w:t>（含4个平板灯）</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5E5B8">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bookmarkStart w:id="1" w:name="OLE_LINK1"/>
            <w:r>
              <w:rPr>
                <w:rFonts w:hint="default" w:ascii="Times New Roman" w:hAnsi="Times New Roman" w:cs="Times New Roman"/>
                <w:i w:val="0"/>
                <w:iCs w:val="0"/>
                <w:color w:val="000000"/>
                <w:kern w:val="0"/>
                <w:sz w:val="22"/>
                <w:szCs w:val="22"/>
                <w:u w:val="none"/>
                <w:lang w:val="en-US" w:eastAsia="zh-CN" w:bidi="ar"/>
              </w:rPr>
              <w:t>㎡</w:t>
            </w:r>
            <w:bookmarkEnd w:id="1"/>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17AF4">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949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宋体" w:hAnsi="宋体" w:cs="宋体"/>
                <w:kern w:val="2"/>
                <w:sz w:val="24"/>
                <w:szCs w:val="24"/>
                <w:lang w:val="en-US" w:eastAsia="zh-CN" w:bidi="ar-SA"/>
              </w:rPr>
              <w:t>厚度</w:t>
            </w:r>
            <w:r>
              <w:rPr>
                <w:rFonts w:hint="default" w:ascii="Times New Roman" w:hAnsi="Times New Roman" w:cs="Times New Roman"/>
                <w:i w:val="0"/>
                <w:iCs w:val="0"/>
                <w:color w:val="000000"/>
                <w:kern w:val="0"/>
                <w:sz w:val="22"/>
                <w:szCs w:val="22"/>
                <w:u w:val="none"/>
                <w:lang w:val="en-US" w:eastAsia="zh-CN" w:bidi="ar"/>
              </w:rPr>
              <w:t>≥0.8mm</w:t>
            </w:r>
          </w:p>
        </w:tc>
      </w:tr>
      <w:tr w14:paraId="41415810">
        <w:tblPrEx>
          <w:tblCellMar>
            <w:top w:w="0" w:type="dxa"/>
            <w:left w:w="0" w:type="dxa"/>
            <w:bottom w:w="0" w:type="dxa"/>
            <w:right w:w="0" w:type="dxa"/>
          </w:tblCellMar>
        </w:tblPrEx>
        <w:trPr>
          <w:trHeight w:val="44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2CC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ED8F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卫生间门扇（二楼1樘、三楼2樘）</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C03AB">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樘</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AB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6295B">
            <w:pPr>
              <w:keepNext w:val="0"/>
              <w:keepLines w:val="0"/>
              <w:widowControl/>
              <w:suppressLineNumbers w:val="0"/>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铝材厚度</w:t>
            </w:r>
            <w:r>
              <w:rPr>
                <w:rFonts w:hint="default" w:ascii="Times New Roman" w:hAnsi="Times New Roman" w:cs="Times New Roman"/>
                <w:i w:val="0"/>
                <w:iCs w:val="0"/>
                <w:color w:val="000000"/>
                <w:kern w:val="0"/>
                <w:sz w:val="22"/>
                <w:szCs w:val="22"/>
                <w:u w:val="none"/>
                <w:lang w:val="en-US" w:eastAsia="zh-CN" w:bidi="ar"/>
              </w:rPr>
              <w:t>≥</w:t>
            </w:r>
            <w:bookmarkStart w:id="2" w:name="OLE_LINK3"/>
            <w:r>
              <w:rPr>
                <w:rFonts w:hint="eastAsia" w:ascii="Times New Roman" w:hAnsi="Times New Roman" w:cs="Times New Roman"/>
                <w:i w:val="0"/>
                <w:iCs w:val="0"/>
                <w:color w:val="000000"/>
                <w:kern w:val="0"/>
                <w:sz w:val="22"/>
                <w:szCs w:val="22"/>
                <w:u w:val="none"/>
                <w:lang w:val="en-US" w:eastAsia="zh-CN" w:bidi="ar"/>
              </w:rPr>
              <w:t>1.2mm</w:t>
            </w:r>
            <w:bookmarkEnd w:id="2"/>
          </w:p>
        </w:tc>
      </w:tr>
      <w:tr w14:paraId="06E49301">
        <w:tblPrEx>
          <w:tblCellMar>
            <w:top w:w="0" w:type="dxa"/>
            <w:left w:w="0" w:type="dxa"/>
            <w:bottom w:w="0" w:type="dxa"/>
            <w:right w:w="0" w:type="dxa"/>
          </w:tblCellMar>
        </w:tblPrEx>
        <w:trPr>
          <w:trHeight w:val="45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4DE8D0">
            <w:pPr>
              <w:widowControl/>
              <w:tabs>
                <w:tab w:val="left" w:pos="569"/>
              </w:tabs>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51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BAB429">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卫生间窗玻璃贴膜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FDE0F1">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bookmarkStart w:id="3" w:name="OLE_LINK2"/>
            <w:r>
              <w:rPr>
                <w:rFonts w:hint="default" w:ascii="Times New Roman" w:hAnsi="Times New Roman" w:cs="Times New Roman"/>
                <w:i w:val="0"/>
                <w:iCs w:val="0"/>
                <w:color w:val="000000"/>
                <w:kern w:val="0"/>
                <w:sz w:val="22"/>
                <w:szCs w:val="22"/>
                <w:u w:val="none"/>
                <w:lang w:val="en-US" w:eastAsia="zh-CN" w:bidi="ar"/>
              </w:rPr>
              <w:t>㎡</w:t>
            </w:r>
            <w:bookmarkEnd w:id="3"/>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8D8F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9.0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54D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41774">
        <w:tblPrEx>
          <w:tblCellMar>
            <w:top w:w="0" w:type="dxa"/>
            <w:left w:w="0" w:type="dxa"/>
            <w:bottom w:w="0" w:type="dxa"/>
            <w:right w:w="0" w:type="dxa"/>
          </w:tblCellMar>
        </w:tblPrEx>
        <w:trPr>
          <w:trHeight w:val="447"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F3B2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51E40">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一楼转角不锈钢门</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1910E">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default" w:ascii="Times New Roman" w:hAnsi="Times New Roman" w:cs="Times New Roman"/>
                <w:i w:val="0"/>
                <w:iCs w:val="0"/>
                <w:color w:val="000000"/>
                <w:kern w:val="0"/>
                <w:sz w:val="22"/>
                <w:szCs w:val="22"/>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B85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4.2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3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4" w:name="OLE_LINK4"/>
            <w:r>
              <w:rPr>
                <w:rFonts w:hint="eastAsia" w:asciiTheme="minorEastAsia" w:hAnsiTheme="minorEastAsia" w:eastAsiaTheme="minorEastAsia" w:cstheme="minorEastAsia"/>
                <w:i w:val="0"/>
                <w:iCs w:val="0"/>
                <w:color w:val="000000"/>
                <w:kern w:val="0"/>
                <w:sz w:val="24"/>
                <w:szCs w:val="24"/>
                <w:u w:val="none"/>
                <w:lang w:val="en-US" w:eastAsia="zh-CN" w:bidi="ar"/>
              </w:rPr>
              <w:t>不锈钢厚度</w:t>
            </w:r>
            <w:r>
              <w:rPr>
                <w:rFonts w:hint="default" w:ascii="Times New Roman" w:hAnsi="Times New Roman"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1.2mm</w:t>
            </w:r>
            <w:bookmarkEnd w:id="4"/>
          </w:p>
        </w:tc>
      </w:tr>
      <w:tr w14:paraId="7923E3DD">
        <w:tblPrEx>
          <w:tblCellMar>
            <w:top w:w="0" w:type="dxa"/>
            <w:left w:w="0" w:type="dxa"/>
            <w:bottom w:w="0" w:type="dxa"/>
            <w:right w:w="0" w:type="dxa"/>
          </w:tblCellMar>
        </w:tblPrEx>
        <w:trPr>
          <w:trHeight w:val="50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2DDB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C2D67">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一楼转角不锈钢护栏</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FE600">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default" w:ascii="Times New Roman" w:hAnsi="Times New Roman" w:cs="Times New Roman"/>
                <w:i w:val="0"/>
                <w:iCs w:val="0"/>
                <w:color w:val="000000"/>
                <w:kern w:val="0"/>
                <w:sz w:val="22"/>
                <w:szCs w:val="22"/>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FC6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6.8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29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不锈钢厚度</w:t>
            </w:r>
            <w:r>
              <w:rPr>
                <w:rFonts w:hint="default" w:ascii="Times New Roman" w:hAnsi="Times New Roman"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0</w:t>
            </w:r>
            <w:r>
              <w:rPr>
                <w:rFonts w:hint="eastAsia" w:ascii="Times New Roman" w:hAnsi="Times New Roman" w:cs="Times New Roman"/>
                <w:i w:val="0"/>
                <w:iCs w:val="0"/>
                <w:color w:val="000000"/>
                <w:kern w:val="0"/>
                <w:sz w:val="22"/>
                <w:szCs w:val="22"/>
                <w:u w:val="none"/>
                <w:lang w:val="en-US" w:eastAsia="zh-CN" w:bidi="ar"/>
              </w:rPr>
              <w:t>mm</w:t>
            </w:r>
          </w:p>
        </w:tc>
      </w:tr>
      <w:tr w14:paraId="09E00DFC">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FA5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5BA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更换三楼下水管</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5B981">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项</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E0F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BF3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110排水管</w:t>
            </w:r>
          </w:p>
        </w:tc>
      </w:tr>
      <w:tr w14:paraId="47D4FAC7">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13E5D">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5A4A">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更换实验室角阀（黄铜）</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93C77">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kern w:val="2"/>
                <w:sz w:val="24"/>
                <w:szCs w:val="24"/>
                <w:lang w:val="en-US" w:eastAsia="zh-CN" w:bidi="ar-SA"/>
              </w:rPr>
              <w:t>个</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D82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C8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黄铜</w:t>
            </w:r>
          </w:p>
        </w:tc>
      </w:tr>
      <w:tr w14:paraId="6F12840E">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A8B4D">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0A65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脚手架</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C4014">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kern w:val="2"/>
                <w:sz w:val="24"/>
                <w:szCs w:val="24"/>
                <w:lang w:val="en-US" w:eastAsia="zh-CN" w:bidi="ar-SA"/>
              </w:rPr>
              <w:t>项</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1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06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0A706">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70457">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09644">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垃圾清运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784E7">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项</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D05F3">
            <w:pPr>
              <w:keepNext w:val="0"/>
              <w:keepLines w:val="0"/>
              <w:widowControl/>
              <w:suppressLineNumbers w:val="0"/>
              <w:jc w:val="center"/>
              <w:textAlignment w:val="center"/>
              <w:rPr>
                <w:rFonts w:hint="default" w:ascii="宋体" w:hAnsi="宋体" w:cs="宋体"/>
                <w:kern w:val="2"/>
                <w:sz w:val="24"/>
                <w:szCs w:val="24"/>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AB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F8DF2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p>
    <w:p w14:paraId="6A946353">
      <w:pPr>
        <w:pStyle w:val="2"/>
        <w:numPr>
          <w:ilvl w:val="0"/>
          <w:numId w:val="0"/>
        </w:numPr>
        <w:ind w:left="480" w:leftChars="0"/>
        <w:rPr>
          <w:rFonts w:hint="eastAsia" w:ascii="宋体" w:hAnsi="宋体"/>
          <w:b/>
          <w:sz w:val="24"/>
        </w:rPr>
      </w:pP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以上清单的数量为预估数量，结算以实际制作数量结算</w:t>
      </w:r>
      <w:r>
        <w:rPr>
          <w:rFonts w:hint="eastAsia" w:asciiTheme="minorEastAsia" w:hAnsiTheme="minorEastAsia" w:eastAsiaTheme="minorEastAsia" w:cstheme="minorEastAsia"/>
          <w:sz w:val="24"/>
          <w:szCs w:val="24"/>
          <w:lang w:eastAsia="zh-CN"/>
        </w:rPr>
        <w:t>；</w:t>
      </w:r>
    </w:p>
    <w:p w14:paraId="60E76585">
      <w:pPr>
        <w:pStyle w:val="2"/>
        <w:numPr>
          <w:ilvl w:val="0"/>
          <w:numId w:val="1"/>
        </w:numPr>
        <w:ind w:left="480" w:leftChars="0" w:firstLine="480" w:firstLineChars="200"/>
        <w:rPr>
          <w:rFonts w:hint="eastAsia" w:ascii="宋体" w:hAnsi="宋体"/>
          <w:b/>
          <w:sz w:val="24"/>
          <w:lang w:eastAsia="zh-CN"/>
        </w:rPr>
      </w:pPr>
      <w:r>
        <w:rPr>
          <w:rFonts w:hint="eastAsia" w:asciiTheme="minorEastAsia" w:hAnsiTheme="minorEastAsia" w:eastAsiaTheme="minorEastAsia" w:cstheme="minorEastAsia"/>
          <w:sz w:val="24"/>
          <w:szCs w:val="24"/>
          <w:lang w:val="en-US" w:eastAsia="zh-CN"/>
        </w:rPr>
        <w:t>实验室部分角阀在实验室柜台下，更换难度较大。</w:t>
      </w:r>
      <w:bookmarkStart w:id="5" w:name="_Toc361914735"/>
      <w:bookmarkStart w:id="6" w:name="_Toc41068019"/>
      <w:bookmarkStart w:id="7" w:name="_Toc308161717"/>
    </w:p>
    <w:p w14:paraId="5D2B121B">
      <w:pPr>
        <w:rPr>
          <w:rFonts w:hint="eastAsia"/>
          <w:lang w:eastAsia="zh-CN"/>
        </w:rPr>
      </w:pPr>
    </w:p>
    <w:p w14:paraId="3CC414A6">
      <w:pPr>
        <w:pStyle w:val="2"/>
        <w:numPr>
          <w:ilvl w:val="0"/>
          <w:numId w:val="0"/>
        </w:numPr>
        <w:ind w:firstLine="482" w:firstLineChars="200"/>
        <w:rPr>
          <w:rFonts w:hint="eastAsia" w:ascii="宋体" w:hAnsi="宋体"/>
          <w:b/>
          <w:sz w:val="24"/>
        </w:rPr>
      </w:pPr>
      <w:r>
        <w:rPr>
          <w:rFonts w:hint="eastAsia" w:ascii="宋体" w:hAnsi="宋体"/>
          <w:b/>
          <w:sz w:val="24"/>
          <w:lang w:eastAsia="zh-CN"/>
        </w:rPr>
        <w:t>四</w:t>
      </w:r>
      <w:r>
        <w:rPr>
          <w:rFonts w:hint="eastAsia" w:ascii="宋体" w:hAnsi="宋体"/>
          <w:b/>
          <w:sz w:val="24"/>
        </w:rPr>
        <w:t>、项目要求</w:t>
      </w:r>
    </w:p>
    <w:p w14:paraId="0F92012E">
      <w:pPr>
        <w:spacing w:line="500" w:lineRule="exact"/>
        <w:ind w:firstLine="482" w:firstLineChars="200"/>
        <w:jc w:val="left"/>
        <w:rPr>
          <w:rFonts w:hint="eastAsia" w:ascii="宋体" w:hAnsi="宋体"/>
          <w:bCs/>
          <w:sz w:val="24"/>
        </w:rPr>
      </w:pPr>
      <w:r>
        <w:rPr>
          <w:rFonts w:hint="eastAsia" w:ascii="宋体" w:hAnsi="宋体"/>
          <w:b/>
          <w:sz w:val="24"/>
        </w:rPr>
        <w:t>（1）</w:t>
      </w:r>
      <w:r>
        <w:rPr>
          <w:rFonts w:hint="eastAsia" w:ascii="宋体" w:hAnsi="宋体"/>
          <w:bCs/>
          <w:sz w:val="24"/>
        </w:rPr>
        <w:t>供应商的经营范围须包括装饰装修。成交人所用的装修材料须事先得到采购人批准后方可使用，采购人有权拒绝使用不符合采购文件规定标准的材料。</w:t>
      </w:r>
    </w:p>
    <w:p w14:paraId="766C0F3D">
      <w:pPr>
        <w:spacing w:line="500" w:lineRule="exact"/>
        <w:ind w:left="420" w:leftChars="200"/>
        <w:jc w:val="left"/>
        <w:rPr>
          <w:rFonts w:hint="eastAsia" w:ascii="宋体" w:hAnsi="宋体"/>
          <w:b/>
          <w:sz w:val="24"/>
        </w:rPr>
      </w:pPr>
      <w:r>
        <w:rPr>
          <w:rFonts w:hint="eastAsia" w:ascii="宋体" w:hAnsi="宋体"/>
          <w:b/>
          <w:sz w:val="24"/>
        </w:rPr>
        <w:t>（2）施工</w:t>
      </w:r>
    </w:p>
    <w:p w14:paraId="0FBC0E3D">
      <w:pPr>
        <w:spacing w:line="500" w:lineRule="exact"/>
        <w:ind w:firstLine="720" w:firstLineChars="300"/>
        <w:jc w:val="left"/>
        <w:rPr>
          <w:rFonts w:hint="eastAsia" w:ascii="宋体" w:hAnsi="宋体"/>
          <w:bCs/>
          <w:sz w:val="24"/>
        </w:rPr>
      </w:pPr>
      <w:r>
        <w:rPr>
          <w:rFonts w:hint="eastAsia" w:ascii="宋体" w:hAnsi="宋体"/>
          <w:bCs/>
          <w:sz w:val="24"/>
        </w:rPr>
        <w:t>1）由成交人负责将各项设施、材料按合同签订的具体要求、具体数量、具体时间地点运送到最终目的地。</w:t>
      </w:r>
    </w:p>
    <w:p w14:paraId="1B590411">
      <w:pPr>
        <w:spacing w:line="500" w:lineRule="exact"/>
        <w:ind w:firstLine="720" w:firstLineChars="300"/>
        <w:jc w:val="left"/>
        <w:rPr>
          <w:rFonts w:hint="eastAsia" w:ascii="宋体" w:hAnsi="宋体"/>
          <w:bCs/>
          <w:sz w:val="24"/>
        </w:rPr>
      </w:pPr>
      <w:r>
        <w:rPr>
          <w:rFonts w:hint="eastAsia" w:ascii="宋体" w:hAnsi="宋体"/>
          <w:bCs/>
          <w:sz w:val="24"/>
        </w:rPr>
        <w:t>2)成交人进场施工前所购买的所有材料包括数量、质量、单价等须经采购人与成交人一同到施工现场验收确认同意后方可施工。未经采购人验收认可擅自购买材料施工的，采购人有权要求成交人进行整改，且不予将其费用列入结算。</w:t>
      </w:r>
    </w:p>
    <w:p w14:paraId="55374B15">
      <w:pPr>
        <w:spacing w:line="500" w:lineRule="exact"/>
        <w:ind w:firstLine="720" w:firstLineChars="300"/>
        <w:jc w:val="left"/>
        <w:rPr>
          <w:rFonts w:hint="eastAsia" w:ascii="宋体" w:hAnsi="宋体"/>
          <w:bCs/>
          <w:sz w:val="24"/>
        </w:rPr>
      </w:pPr>
      <w:r>
        <w:rPr>
          <w:rFonts w:hint="eastAsia" w:ascii="宋体" w:hAnsi="宋体"/>
          <w:bCs/>
          <w:sz w:val="24"/>
        </w:rPr>
        <w:t>3)成交人负责组织专业技术人员进行场内设施装修，采购人应提供必须</w:t>
      </w:r>
      <w:r>
        <w:rPr>
          <w:rFonts w:hint="eastAsia" w:ascii="宋体" w:hAnsi="宋体"/>
          <w:bCs/>
          <w:sz w:val="24"/>
          <w:lang w:eastAsia="zh-CN"/>
        </w:rPr>
        <w:t>的</w:t>
      </w:r>
      <w:r>
        <w:rPr>
          <w:rFonts w:hint="eastAsia" w:ascii="宋体" w:hAnsi="宋体"/>
          <w:bCs/>
          <w:sz w:val="24"/>
        </w:rPr>
        <w:t>基本条件和专人配合，保证各项改造工作顺利进行。</w:t>
      </w:r>
    </w:p>
    <w:p w14:paraId="6240456B">
      <w:pPr>
        <w:spacing w:line="500" w:lineRule="exact"/>
        <w:ind w:left="420" w:leftChars="200" w:firstLine="240" w:firstLineChars="100"/>
        <w:jc w:val="left"/>
        <w:rPr>
          <w:rFonts w:hint="eastAsia" w:ascii="宋体" w:hAnsi="宋体"/>
          <w:bCs/>
          <w:sz w:val="24"/>
        </w:rPr>
      </w:pPr>
      <w:r>
        <w:rPr>
          <w:rFonts w:hint="eastAsia" w:ascii="宋体" w:hAnsi="宋体"/>
          <w:bCs/>
          <w:sz w:val="24"/>
        </w:rPr>
        <w:t>4)成交人应在合同签订时，向采购人提供项目的进度计划表。</w:t>
      </w:r>
    </w:p>
    <w:p w14:paraId="649F4E09">
      <w:pPr>
        <w:spacing w:line="500" w:lineRule="exact"/>
        <w:ind w:left="420" w:leftChars="200"/>
        <w:jc w:val="left"/>
        <w:rPr>
          <w:rFonts w:hint="eastAsia" w:ascii="宋体" w:hAnsi="宋体"/>
          <w:b/>
          <w:sz w:val="24"/>
        </w:rPr>
      </w:pPr>
      <w:r>
        <w:rPr>
          <w:rFonts w:hint="eastAsia" w:ascii="宋体" w:hAnsi="宋体"/>
          <w:b/>
          <w:sz w:val="24"/>
        </w:rPr>
        <w:t>（3）施工现场管理要求</w:t>
      </w:r>
    </w:p>
    <w:p w14:paraId="1F0DDA7C">
      <w:pPr>
        <w:spacing w:line="500" w:lineRule="exact"/>
        <w:ind w:left="420" w:leftChars="200" w:firstLine="240" w:firstLineChars="100"/>
        <w:jc w:val="left"/>
        <w:rPr>
          <w:rFonts w:hint="eastAsia" w:ascii="宋体" w:hAnsi="宋体"/>
          <w:bCs/>
          <w:sz w:val="24"/>
        </w:rPr>
      </w:pPr>
      <w:r>
        <w:rPr>
          <w:rFonts w:hint="eastAsia" w:ascii="宋体" w:hAnsi="宋体"/>
          <w:bCs/>
          <w:sz w:val="24"/>
        </w:rPr>
        <w:t>1）现场安全防护设施要求</w:t>
      </w:r>
    </w:p>
    <w:p w14:paraId="51C1EEC4">
      <w:pPr>
        <w:spacing w:line="500" w:lineRule="exact"/>
        <w:ind w:firstLine="480" w:firstLineChars="200"/>
        <w:jc w:val="left"/>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1</w:t>
      </w:r>
      <w:r>
        <w:rPr>
          <w:rFonts w:hint="eastAsia" w:ascii="宋体" w:hAnsi="宋体"/>
          <w:bCs/>
          <w:sz w:val="24"/>
          <w:lang w:eastAsia="zh-CN"/>
        </w:rPr>
        <w:t>）</w:t>
      </w:r>
      <w:r>
        <w:rPr>
          <w:rFonts w:hint="eastAsia" w:ascii="宋体" w:hAnsi="宋体"/>
          <w:bCs/>
          <w:sz w:val="24"/>
        </w:rPr>
        <w:t>成交人应时刻关注和采取适当措施保障所有在场工作人员的安全，保证工程施工安全，现场施工应当保持有条不紊；负责已完工部分工程的保护工作；应做好防雷电、防火等的安全防护工作；应负责提供照明、警卫、护栅、警告标志等安全防护措施，承担施工现场和施工人员的治安、环境卫生、计生、外来人员暂住手续等管理工作和相关费用；若发生任何事故，均由成交人全部负责。</w:t>
      </w:r>
    </w:p>
    <w:p w14:paraId="40DB43D6">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2</w:t>
      </w:r>
      <w:r>
        <w:rPr>
          <w:rFonts w:hint="eastAsia" w:ascii="宋体" w:hAnsi="宋体"/>
          <w:bCs/>
          <w:sz w:val="24"/>
          <w:lang w:eastAsia="zh-CN"/>
        </w:rPr>
        <w:t>）</w:t>
      </w:r>
      <w:r>
        <w:rPr>
          <w:rFonts w:hint="eastAsia" w:ascii="宋体" w:hAnsi="宋体"/>
          <w:bCs/>
          <w:sz w:val="24"/>
        </w:rPr>
        <w:t>成交人应按国家和地方有关部门的规定，结合工程实际情况，制定安全施工管理规章制度，采用适当有效的防护措施，加强施工安全管理，对施工现场人员安全以及防台风、防火、防爆、防汛和防盗等采取严格的安全防护措施，承担安全施工责任和费用，并承担由于措施不力造成的事故责任和因此发生的费用。由于工地施工时对工地周边建筑物、道路等造成破坏的由成交人负责。</w:t>
      </w:r>
    </w:p>
    <w:p w14:paraId="345A72C1">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rPr>
        <w:t>2）施工要求</w:t>
      </w:r>
    </w:p>
    <w:p w14:paraId="44327549">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rPr>
        <w:t>(1)严禁乱搭盖、乱占道，堆放材料的工棚严禁当作工人宿舍。施工中使用的材料应严格堆放在正在施工场地内，不得随意堆放占道。</w:t>
      </w:r>
    </w:p>
    <w:p w14:paraId="6CDF8FCA">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rPr>
        <w:t>(2)按照部颁施工用电应符合《施工现场临时用电安全技术规范》JGJ46-2005的要求。</w:t>
      </w:r>
    </w:p>
    <w:p w14:paraId="0781054C">
      <w:pPr>
        <w:spacing w:line="500" w:lineRule="exact"/>
        <w:ind w:left="420" w:leftChars="200"/>
        <w:jc w:val="left"/>
        <w:rPr>
          <w:rFonts w:hint="eastAsia" w:ascii="宋体" w:hAnsi="宋体"/>
          <w:bCs/>
          <w:sz w:val="24"/>
        </w:rPr>
      </w:pPr>
      <w:r>
        <w:rPr>
          <w:rFonts w:hint="eastAsia" w:ascii="宋体" w:hAnsi="宋体"/>
          <w:bCs/>
          <w:sz w:val="24"/>
        </w:rPr>
        <w:t>(3)其余有关施工安全文明的相关要求请参照《建筑施工安全文明工地标准》</w:t>
      </w:r>
    </w:p>
    <w:p w14:paraId="43167235">
      <w:pPr>
        <w:spacing w:line="500" w:lineRule="exact"/>
        <w:jc w:val="left"/>
        <w:rPr>
          <w:rFonts w:hint="eastAsia" w:ascii="宋体" w:hAnsi="宋体"/>
          <w:bCs/>
          <w:sz w:val="24"/>
        </w:rPr>
      </w:pPr>
      <w:r>
        <w:rPr>
          <w:rFonts w:hint="eastAsia" w:ascii="宋体" w:hAnsi="宋体"/>
          <w:bCs/>
          <w:sz w:val="24"/>
        </w:rPr>
        <w:t>DBJ13-81-2006、《建筑施工现场环境与卫生标准》J10796-2006、《建筑安全文明工地文件选编(福建省建设厅)》等有关的法律、法规以及标准规范。</w:t>
      </w:r>
    </w:p>
    <w:p w14:paraId="15C6D68B">
      <w:pPr>
        <w:spacing w:line="500" w:lineRule="exact"/>
        <w:ind w:left="420" w:leftChars="200"/>
        <w:jc w:val="left"/>
        <w:rPr>
          <w:rFonts w:hint="eastAsia" w:ascii="宋体" w:hAnsi="宋体"/>
          <w:bCs/>
          <w:sz w:val="24"/>
        </w:rPr>
      </w:pPr>
      <w:r>
        <w:rPr>
          <w:rFonts w:hint="eastAsia" w:ascii="宋体" w:hAnsi="宋体"/>
          <w:bCs/>
          <w:sz w:val="24"/>
        </w:rPr>
        <w:t>3）施工机具进场要求</w:t>
      </w:r>
    </w:p>
    <w:p w14:paraId="0B250DCF">
      <w:pPr>
        <w:spacing w:line="500" w:lineRule="exact"/>
        <w:ind w:firstLine="480" w:firstLineChars="200"/>
        <w:jc w:val="left"/>
        <w:rPr>
          <w:rFonts w:hint="eastAsia" w:ascii="宋体" w:hAnsi="宋体"/>
          <w:bCs/>
          <w:sz w:val="24"/>
        </w:rPr>
      </w:pPr>
      <w:r>
        <w:rPr>
          <w:rFonts w:hint="eastAsia" w:ascii="宋体" w:hAnsi="宋体"/>
          <w:bCs/>
          <w:sz w:val="24"/>
        </w:rPr>
        <w:t>满足施工需求，且成交人应保证报价时承诺拟投入本工程的主要施工机械设备全部及时进场。</w:t>
      </w:r>
    </w:p>
    <w:p w14:paraId="34002443">
      <w:pPr>
        <w:spacing w:line="500" w:lineRule="exact"/>
        <w:ind w:left="420" w:leftChars="200"/>
        <w:jc w:val="left"/>
        <w:rPr>
          <w:rFonts w:hint="eastAsia" w:ascii="宋体" w:hAnsi="宋体"/>
          <w:b/>
          <w:sz w:val="24"/>
        </w:rPr>
      </w:pPr>
      <w:r>
        <w:rPr>
          <w:rFonts w:hint="eastAsia" w:ascii="宋体" w:hAnsi="宋体"/>
          <w:b/>
          <w:sz w:val="24"/>
        </w:rPr>
        <w:t>(4）验收标准及方法</w:t>
      </w:r>
    </w:p>
    <w:p w14:paraId="4A27D7A9">
      <w:pPr>
        <w:spacing w:line="500" w:lineRule="exact"/>
        <w:ind w:left="420" w:leftChars="200"/>
        <w:jc w:val="left"/>
        <w:rPr>
          <w:rFonts w:hint="eastAsia" w:ascii="宋体" w:hAnsi="宋体"/>
          <w:bCs/>
          <w:sz w:val="24"/>
        </w:rPr>
      </w:pPr>
      <w:r>
        <w:rPr>
          <w:rFonts w:hint="eastAsia" w:ascii="宋体" w:hAnsi="宋体"/>
          <w:bCs/>
          <w:sz w:val="24"/>
        </w:rPr>
        <w:t>1)本项目要求质量等级为：一次性验收合格。     </w:t>
      </w:r>
    </w:p>
    <w:p w14:paraId="0B04F1D5">
      <w:pPr>
        <w:spacing w:line="500" w:lineRule="exact"/>
        <w:ind w:firstLine="480" w:firstLineChars="200"/>
        <w:jc w:val="left"/>
        <w:rPr>
          <w:rFonts w:hint="eastAsia" w:ascii="宋体" w:hAnsi="宋体"/>
          <w:bCs/>
          <w:sz w:val="24"/>
        </w:rPr>
      </w:pPr>
      <w:r>
        <w:rPr>
          <w:rFonts w:hint="eastAsia" w:ascii="宋体" w:hAnsi="宋体"/>
          <w:bCs/>
          <w:sz w:val="24"/>
        </w:rPr>
        <w:t>2)施工完成后由采购人专人验收，必须达到采购文件及采购人设定的标准。若未能达到该标准，则不予以验收，并对存在的问题及时进行整改。</w:t>
      </w:r>
    </w:p>
    <w:p w14:paraId="3BA3FE48">
      <w:pPr>
        <w:spacing w:line="500" w:lineRule="exact"/>
        <w:ind w:left="420" w:leftChars="200"/>
        <w:jc w:val="left"/>
        <w:rPr>
          <w:rFonts w:hint="eastAsia" w:ascii="宋体" w:hAnsi="宋体"/>
          <w:b/>
          <w:sz w:val="24"/>
        </w:rPr>
      </w:pPr>
      <w:r>
        <w:rPr>
          <w:rFonts w:hint="eastAsia" w:ascii="宋体" w:hAnsi="宋体"/>
          <w:b/>
          <w:sz w:val="24"/>
        </w:rPr>
        <w:t>(5)维修期限</w:t>
      </w:r>
    </w:p>
    <w:p w14:paraId="38E97CA8">
      <w:pPr>
        <w:spacing w:line="500" w:lineRule="exact"/>
        <w:ind w:firstLine="480" w:firstLineChars="200"/>
        <w:jc w:val="left"/>
        <w:rPr>
          <w:rFonts w:hint="eastAsia" w:ascii="宋体" w:hAnsi="宋体"/>
          <w:bCs/>
          <w:sz w:val="24"/>
        </w:rPr>
      </w:pPr>
      <w:bookmarkStart w:id="8" w:name="OLE_LINK5"/>
      <w:r>
        <w:rPr>
          <w:rFonts w:hint="eastAsia" w:ascii="宋体" w:hAnsi="宋体"/>
          <w:bCs/>
          <w:sz w:val="24"/>
        </w:rPr>
        <w:t>1)</w:t>
      </w:r>
      <w:bookmarkEnd w:id="8"/>
      <w:r>
        <w:rPr>
          <w:rFonts w:hint="eastAsia" w:ascii="宋体" w:hAnsi="宋体"/>
          <w:bCs/>
          <w:sz w:val="24"/>
        </w:rPr>
        <w:t>自整个项目验收合格之日起质量保修期两年，保修期内成交人必须保证对整个项目非人为破坏而损坏的保修保养。</w:t>
      </w:r>
    </w:p>
    <w:p w14:paraId="07351F0D">
      <w:pPr>
        <w:spacing w:line="500" w:lineRule="exact"/>
        <w:jc w:val="left"/>
        <w:rPr>
          <w:rFonts w:hint="eastAsia" w:ascii="宋体" w:hAnsi="宋体"/>
          <w:bCs/>
          <w:sz w:val="24"/>
        </w:rPr>
      </w:pPr>
      <w:r>
        <w:rPr>
          <w:rFonts w:hint="eastAsia" w:ascii="宋体" w:hAnsi="宋体"/>
          <w:bCs/>
          <w:sz w:val="24"/>
          <w:lang w:val="en-US" w:eastAsia="zh-CN"/>
        </w:rPr>
        <w:t xml:space="preserve">    2</w:t>
      </w:r>
      <w:r>
        <w:rPr>
          <w:rFonts w:hint="eastAsia" w:ascii="宋体" w:hAnsi="宋体"/>
          <w:bCs/>
          <w:sz w:val="24"/>
        </w:rPr>
        <w:t>)</w:t>
      </w:r>
      <w:r>
        <w:rPr>
          <w:rFonts w:hint="eastAsia" w:ascii="宋体" w:hAnsi="宋体"/>
          <w:bCs/>
          <w:sz w:val="24"/>
          <w:lang w:val="en-US" w:eastAsia="zh-CN"/>
        </w:rPr>
        <w:t xml:space="preserve"> </w:t>
      </w:r>
      <w:r>
        <w:rPr>
          <w:rFonts w:hint="eastAsia" w:ascii="宋体" w:hAnsi="宋体"/>
          <w:bCs/>
          <w:sz w:val="24"/>
        </w:rPr>
        <w:t>在免费质量保修期内由于施工质量原因造成的任何损伤和损坏，成交人须负责修理或更换。</w:t>
      </w:r>
    </w:p>
    <w:p w14:paraId="56AF5B34">
      <w:pPr>
        <w:pStyle w:val="5"/>
        <w:spacing w:after="150" w:afterAutospacing="0" w:line="300" w:lineRule="atLeast"/>
        <w:ind w:firstLine="241" w:firstLineChars="100"/>
        <w:jc w:val="both"/>
      </w:pPr>
      <w:r>
        <w:rPr>
          <w:rFonts w:hint="eastAsia"/>
          <w:b/>
        </w:rPr>
        <w:t>（</w:t>
      </w:r>
      <w:r>
        <w:rPr>
          <w:rFonts w:hint="eastAsia"/>
          <w:b/>
          <w:lang w:val="en-US"/>
        </w:rPr>
        <w:t>6）</w:t>
      </w:r>
      <w:r>
        <w:rPr>
          <w:rStyle w:val="10"/>
          <w:rFonts w:hint="eastAsia" w:ascii="宋体" w:hAnsi="宋体" w:cs="宋体"/>
          <w:shd w:val="clear" w:color="auto" w:fill="FFFFFF"/>
        </w:rPr>
        <w:t>服务要求</w:t>
      </w:r>
    </w:p>
    <w:p w14:paraId="14F1D823">
      <w:pPr>
        <w:pStyle w:val="5"/>
        <w:spacing w:after="150" w:afterAutospacing="0" w:line="300" w:lineRule="atLeast"/>
        <w:ind w:firstLine="480" w:firstLineChars="200"/>
        <w:jc w:val="both"/>
      </w:pPr>
      <w:r>
        <w:rPr>
          <w:rFonts w:hint="eastAsia" w:cs="宋体"/>
          <w:shd w:val="clear" w:color="auto" w:fill="FFFFFF"/>
          <w:lang w:val="en-US"/>
        </w:rPr>
        <w:t>1)</w:t>
      </w:r>
      <w:r>
        <w:rPr>
          <w:rFonts w:hint="eastAsia" w:cs="宋体"/>
          <w:shd w:val="clear" w:color="auto" w:fill="FFFFFF"/>
        </w:rPr>
        <w:t>成交人应按《建设工程质量管理条例》及国家有关规定，对本工程进行保修。</w:t>
      </w:r>
    </w:p>
    <w:p w14:paraId="7620B291">
      <w:pPr>
        <w:spacing w:line="500" w:lineRule="exact"/>
        <w:ind w:firstLine="480" w:firstLineChars="200"/>
        <w:jc w:val="left"/>
        <w:rPr>
          <w:rFonts w:hint="eastAsia" w:ascii="宋体" w:hAnsi="宋体"/>
          <w:bCs/>
          <w:sz w:val="24"/>
        </w:rPr>
      </w:pPr>
      <w:r>
        <w:rPr>
          <w:rFonts w:hint="eastAsia" w:ascii="宋体" w:hAnsi="宋体"/>
          <w:bCs/>
          <w:sz w:val="24"/>
        </w:rPr>
        <w:t>2</w:t>
      </w:r>
      <w:r>
        <w:rPr>
          <w:rFonts w:hint="eastAsia" w:ascii="宋体" w:hAnsi="宋体"/>
          <w:bCs/>
          <w:sz w:val="24"/>
          <w:lang w:val="en-US"/>
        </w:rPr>
        <w:t>)</w:t>
      </w:r>
      <w:r>
        <w:rPr>
          <w:rFonts w:hint="eastAsia" w:ascii="宋体" w:hAnsi="宋体"/>
          <w:bCs/>
          <w:sz w:val="24"/>
        </w:rPr>
        <w:t>工程出现质量问题时，属于保修范围、内容的项目，承包人应当在接到修理通知之日起24小时内派人修理。成交人不在约定期限内派人修理的，采购人可以委托他人修理。保修费用从工程尾款内扣除。</w:t>
      </w:r>
    </w:p>
    <w:p w14:paraId="3CDE3DDD">
      <w:pPr>
        <w:pStyle w:val="5"/>
        <w:spacing w:after="150" w:afterAutospacing="0" w:line="300" w:lineRule="atLeast"/>
        <w:ind w:firstLine="480" w:firstLineChars="200"/>
        <w:jc w:val="both"/>
      </w:pPr>
      <w:r>
        <w:rPr>
          <w:rFonts w:hint="eastAsia" w:cs="宋体"/>
          <w:shd w:val="clear" w:color="auto" w:fill="FFFFFF"/>
        </w:rPr>
        <w:t>3</w:t>
      </w:r>
      <w:r>
        <w:rPr>
          <w:rFonts w:hint="eastAsia" w:cs="宋体"/>
          <w:shd w:val="clear" w:color="auto" w:fill="FFFFFF"/>
          <w:lang w:val="en-US"/>
        </w:rPr>
        <w:t>)</w:t>
      </w:r>
      <w:r>
        <w:rPr>
          <w:rFonts w:hint="eastAsia" w:cs="宋体"/>
          <w:shd w:val="clear" w:color="auto" w:fill="FFFFFF"/>
        </w:rPr>
        <w:t>发生须紧急抢修事故的，成交人在接到事故通知后，应当立即到达事故现场抢修。</w:t>
      </w:r>
    </w:p>
    <w:p w14:paraId="42898EBB">
      <w:pPr>
        <w:pStyle w:val="5"/>
        <w:spacing w:after="150" w:afterAutospacing="0" w:line="300" w:lineRule="atLeast"/>
        <w:ind w:firstLine="480" w:firstLineChars="200"/>
        <w:jc w:val="both"/>
        <w:rPr>
          <w:rFonts w:hint="eastAsia"/>
          <w:b/>
          <w:lang w:val="en-US"/>
        </w:rPr>
      </w:pPr>
      <w:r>
        <w:rPr>
          <w:rFonts w:hint="eastAsia" w:cs="宋体"/>
          <w:shd w:val="clear" w:color="auto" w:fill="FFFFFF"/>
        </w:rPr>
        <w:t>4</w:t>
      </w:r>
      <w:r>
        <w:rPr>
          <w:rFonts w:hint="eastAsia" w:cs="宋体"/>
          <w:shd w:val="clear" w:color="auto" w:fill="FFFFFF"/>
          <w:lang w:val="en-US"/>
        </w:rPr>
        <w:t>)</w:t>
      </w:r>
      <w:r>
        <w:rPr>
          <w:rFonts w:hint="eastAsia" w:cs="宋体"/>
          <w:shd w:val="clear" w:color="auto" w:fill="FFFFFF"/>
        </w:rPr>
        <w:t>质量保证期内成交人有责任对项目改造使用材料等进行不定期的巡查检修。</w:t>
      </w:r>
    </w:p>
    <w:p w14:paraId="327688D0">
      <w:pPr>
        <w:spacing w:line="500" w:lineRule="exact"/>
        <w:ind w:firstLine="482" w:firstLineChars="200"/>
        <w:jc w:val="left"/>
        <w:rPr>
          <w:rFonts w:hint="eastAsia" w:ascii="宋体" w:hAnsi="宋体"/>
          <w:b/>
          <w:sz w:val="24"/>
        </w:rPr>
      </w:pPr>
      <w:r>
        <w:rPr>
          <w:rFonts w:hint="eastAsia" w:ascii="宋体" w:hAnsi="宋体"/>
          <w:b/>
          <w:sz w:val="24"/>
        </w:rPr>
        <w:t>(7)交货时间、地点和方式</w:t>
      </w:r>
    </w:p>
    <w:p w14:paraId="7E9C07FC">
      <w:pPr>
        <w:spacing w:line="500" w:lineRule="exact"/>
        <w:ind w:firstLine="480" w:firstLineChars="200"/>
        <w:jc w:val="left"/>
        <w:rPr>
          <w:rFonts w:hint="eastAsia" w:ascii="宋体" w:hAnsi="宋体"/>
          <w:sz w:val="24"/>
        </w:rPr>
      </w:pPr>
      <w:r>
        <w:rPr>
          <w:rFonts w:hint="eastAsia" w:ascii="宋体" w:hAnsi="宋体"/>
          <w:sz w:val="24"/>
        </w:rPr>
        <w:t>1)施工期限：</w:t>
      </w:r>
      <w:r>
        <w:rPr>
          <w:rFonts w:hint="eastAsia" w:ascii="宋体" w:hAnsi="宋体" w:cs="宋体"/>
          <w:sz w:val="24"/>
        </w:rPr>
        <w:t>签订合同后 30 个日历日内施工</w:t>
      </w:r>
      <w:r>
        <w:rPr>
          <w:rFonts w:hint="eastAsia" w:ascii="宋体" w:hAnsi="宋体"/>
          <w:sz w:val="24"/>
        </w:rPr>
        <w:t>。</w:t>
      </w:r>
    </w:p>
    <w:p w14:paraId="2DF060B8">
      <w:pPr>
        <w:spacing w:line="500" w:lineRule="exact"/>
        <w:ind w:firstLine="480" w:firstLineChars="200"/>
        <w:jc w:val="left"/>
        <w:rPr>
          <w:rFonts w:hint="eastAsia" w:ascii="宋体" w:hAnsi="宋体"/>
          <w:sz w:val="24"/>
        </w:rPr>
      </w:pPr>
      <w:r>
        <w:rPr>
          <w:rFonts w:hint="eastAsia" w:ascii="宋体" w:hAnsi="宋体"/>
          <w:sz w:val="24"/>
        </w:rPr>
        <w:t>2)施工地点：采购人指定地点。</w:t>
      </w:r>
    </w:p>
    <w:p w14:paraId="5C86C3F1">
      <w:pPr>
        <w:spacing w:line="500" w:lineRule="exact"/>
        <w:ind w:firstLine="482" w:firstLineChars="200"/>
        <w:jc w:val="left"/>
        <w:rPr>
          <w:rFonts w:hint="eastAsia" w:ascii="宋体" w:hAnsi="宋体" w:cs="宋体"/>
          <w:sz w:val="24"/>
          <w:highlight w:val="yellow"/>
        </w:rPr>
      </w:pPr>
      <w:r>
        <w:rPr>
          <w:rFonts w:hint="eastAsia"/>
          <w:b/>
          <w:bCs/>
          <w:sz w:val="24"/>
        </w:rPr>
        <w:t>(8)付款方式</w:t>
      </w:r>
      <w:bookmarkEnd w:id="5"/>
      <w:bookmarkEnd w:id="6"/>
      <w:bookmarkEnd w:id="7"/>
      <w:r>
        <w:rPr>
          <w:rFonts w:hint="eastAsia"/>
          <w:sz w:val="24"/>
        </w:rPr>
        <w:t>：</w:t>
      </w:r>
      <w:r>
        <w:rPr>
          <w:rFonts w:hint="eastAsia" w:ascii="宋体" w:hAnsi="宋体" w:cs="宋体"/>
          <w:sz w:val="24"/>
        </w:rPr>
        <w:t>完成本项目工程后，经采购人最终验收合格并完成工程结算后7日内一次性结清工程款。</w:t>
      </w:r>
    </w:p>
    <w:p w14:paraId="203A0150">
      <w:pPr>
        <w:numPr>
          <w:ilvl w:val="0"/>
          <w:numId w:val="0"/>
        </w:numPr>
        <w:ind w:left="480" w:leftChars="0"/>
        <w:rPr>
          <w:rFonts w:hint="default"/>
          <w:lang w:val="en-US" w:eastAsia="zh-CN"/>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CC830"/>
    <w:multiLevelType w:val="singleLevel"/>
    <w:tmpl w:val="D9FCC83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WI3ZGNjNDY4MzNmYTYwNTBhOWMxYjU3N2Y0ZjUifQ=="/>
  </w:docVars>
  <w:rsids>
    <w:rsidRoot w:val="221A5F7A"/>
    <w:rsid w:val="059211F2"/>
    <w:rsid w:val="090A3DA4"/>
    <w:rsid w:val="0BB6624F"/>
    <w:rsid w:val="1D825E63"/>
    <w:rsid w:val="221A5F7A"/>
    <w:rsid w:val="3ED93C19"/>
    <w:rsid w:val="47431AC0"/>
    <w:rsid w:val="4D176F21"/>
    <w:rsid w:val="72744EF7"/>
    <w:rsid w:val="795D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rPr>
  </w:style>
  <w:style w:type="paragraph" w:styleId="3">
    <w:name w:val="Body Text Indent"/>
    <w:basedOn w:val="1"/>
    <w:qFormat/>
    <w:uiPriority w:val="0"/>
    <w:pPr>
      <w:spacing w:line="360" w:lineRule="auto"/>
      <w:ind w:firstLine="525"/>
    </w:pPr>
    <w:rPr>
      <w:rFonts w:ascii="宋体" w:hAnsi="宋体"/>
      <w:sz w:val="24"/>
      <w:szCs w:val="21"/>
    </w:rPr>
  </w:style>
  <w:style w:type="paragraph" w:styleId="4">
    <w:name w:val="Plain Text"/>
    <w:basedOn w:val="1"/>
    <w:uiPriority w:val="0"/>
    <w:rPr>
      <w:rFonts w:ascii="宋体" w:hAnsi="Courier New"/>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lang w:val="en-GB"/>
    </w:rPr>
  </w:style>
  <w:style w:type="paragraph" w:styleId="6">
    <w:name w:val="Title"/>
    <w:basedOn w:val="1"/>
    <w:next w:val="1"/>
    <w:qFormat/>
    <w:uiPriority w:val="0"/>
    <w:pPr>
      <w:spacing w:before="240" w:beforeLines="0" w:after="60" w:afterLines="0"/>
      <w:jc w:val="center"/>
      <w:outlineLvl w:val="0"/>
    </w:pPr>
    <w:rPr>
      <w:rFonts w:ascii="Cambria" w:hAnsi="Cambria"/>
      <w:b/>
      <w:bCs/>
      <w:kern w:val="0"/>
      <w:sz w:val="32"/>
      <w:szCs w:val="32"/>
    </w:rPr>
  </w:style>
  <w:style w:type="paragraph" w:styleId="7">
    <w:name w:val="Body Text First Indent 2"/>
    <w:basedOn w:val="3"/>
    <w:unhideWhenUsed/>
    <w:qFormat/>
    <w:uiPriority w:val="0"/>
    <w:pPr>
      <w:tabs>
        <w:tab w:val="left" w:pos="0"/>
        <w:tab w:val="left" w:pos="993"/>
        <w:tab w:val="left" w:pos="1134"/>
      </w:tabs>
      <w:ind w:firstLine="420"/>
    </w:pPr>
  </w:style>
  <w:style w:type="character" w:styleId="10">
    <w:name w:val="Strong"/>
    <w:basedOn w:val="9"/>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2896</Words>
  <Characters>3011</Characters>
  <Lines>0</Lines>
  <Paragraphs>0</Paragraphs>
  <TotalTime>6</TotalTime>
  <ScaleCrop>false</ScaleCrop>
  <LinksUpToDate>false</LinksUpToDate>
  <CharactersWithSpaces>3051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2025-06-17T00:46:00Z</dcterms:created>
  <dc:creator>Administrator</dc:creator>
  <cp:lastModifiedBy>Piper</cp:lastModifiedBy>
  <dcterms:modified xsi:type="dcterms:W3CDTF">2026-07-09T03:24:12Z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53B0E497B6264885B61DBC753FBCC480_13</vt:lpwstr>
  </property>
</Properties>
</file>