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center"/>
        <w:rPr>
          <w:rFonts w:ascii="宋体" w:hAnsi="宋体" w:eastAsia="宋体" w:cs="宋体"/>
          <w:i w:val="0"/>
          <w:iCs w:val="0"/>
          <w:caps w:val="0"/>
          <w:color w:val="333333"/>
          <w:spacing w:val="0"/>
          <w:sz w:val="31"/>
          <w:szCs w:val="31"/>
        </w:rPr>
      </w:pPr>
      <w:bookmarkStart w:id="0" w:name="_GoBack"/>
      <w:r>
        <w:rPr>
          <w:rFonts w:hint="eastAsia" w:ascii="方正小标宋简体" w:hAnsi="方正小标宋简体" w:eastAsia="方正小标宋简体" w:cs="方正小标宋简体"/>
          <w:b w:val="0"/>
          <w:bCs w:val="0"/>
          <w:i w:val="0"/>
          <w:iCs w:val="0"/>
          <w:caps w:val="0"/>
          <w:color w:val="333333"/>
          <w:spacing w:val="-6"/>
          <w:kern w:val="0"/>
          <w:sz w:val="44"/>
          <w:szCs w:val="44"/>
          <w:shd w:val="clear" w:fill="FFFFFF"/>
          <w:lang w:val="en-US" w:eastAsia="zh-CN" w:bidi="ar"/>
        </w:rPr>
        <w:t>泉州市</w:t>
      </w:r>
      <w:r>
        <w:rPr>
          <w:rFonts w:ascii="方正小标宋简体" w:hAnsi="方正小标宋简体" w:eastAsia="方正小标宋简体" w:cs="方正小标宋简体"/>
          <w:b w:val="0"/>
          <w:bCs w:val="0"/>
          <w:i w:val="0"/>
          <w:iCs w:val="0"/>
          <w:caps w:val="0"/>
          <w:color w:val="333333"/>
          <w:spacing w:val="-6"/>
          <w:kern w:val="0"/>
          <w:sz w:val="44"/>
          <w:szCs w:val="44"/>
          <w:shd w:val="clear" w:fill="FFFFFF"/>
          <w:lang w:val="en-US" w:eastAsia="zh-CN" w:bidi="ar"/>
        </w:rPr>
        <w:t>海洋与渔业领域包容审慎监管执法</w:t>
      </w:r>
      <w:r>
        <w:rPr>
          <w:rFonts w:hint="default" w:ascii="方正小标宋简体" w:hAnsi="方正小标宋简体" w:eastAsia="方正小标宋简体" w:cs="方正小标宋简体"/>
          <w:b w:val="0"/>
          <w:bCs w:val="0"/>
          <w:i w:val="0"/>
          <w:iCs w:val="0"/>
          <w:caps w:val="0"/>
          <w:color w:val="333333"/>
          <w:spacing w:val="-6"/>
          <w:kern w:val="0"/>
          <w:sz w:val="44"/>
          <w:szCs w:val="44"/>
          <w:shd w:val="clear" w:fill="FFFFFF"/>
          <w:lang w:val="en-US" w:eastAsia="zh-CN" w:bidi="ar"/>
        </w:rPr>
        <w:t>“四张清单”（202</w:t>
      </w:r>
      <w:r>
        <w:rPr>
          <w:rFonts w:hint="eastAsia" w:ascii="方正小标宋简体" w:hAnsi="方正小标宋简体" w:eastAsia="方正小标宋简体" w:cs="方正小标宋简体"/>
          <w:b w:val="0"/>
          <w:bCs w:val="0"/>
          <w:i w:val="0"/>
          <w:iCs w:val="0"/>
          <w:caps w:val="0"/>
          <w:color w:val="333333"/>
          <w:spacing w:val="-6"/>
          <w:kern w:val="0"/>
          <w:sz w:val="44"/>
          <w:szCs w:val="44"/>
          <w:shd w:val="clear" w:fill="FFFFFF"/>
          <w:lang w:val="en-US" w:eastAsia="zh-CN" w:bidi="ar"/>
        </w:rPr>
        <w:t>4</w:t>
      </w:r>
      <w:r>
        <w:rPr>
          <w:rFonts w:hint="default" w:ascii="方正小标宋简体" w:hAnsi="方正小标宋简体" w:eastAsia="方正小标宋简体" w:cs="方正小标宋简体"/>
          <w:b w:val="0"/>
          <w:bCs w:val="0"/>
          <w:i w:val="0"/>
          <w:iCs w:val="0"/>
          <w:caps w:val="0"/>
          <w:color w:val="333333"/>
          <w:spacing w:val="-6"/>
          <w:kern w:val="0"/>
          <w:sz w:val="44"/>
          <w:szCs w:val="44"/>
          <w:shd w:val="clear" w:fill="FFFFFF"/>
          <w:lang w:val="en-US" w:eastAsia="zh-CN" w:bidi="ar"/>
        </w:rPr>
        <w:t>年版）</w:t>
      </w:r>
    </w:p>
    <w:bookmarkEnd w:id="0"/>
    <w:p>
      <w:pPr>
        <w:keepNext w:val="0"/>
        <w:keepLines w:val="0"/>
        <w:widowControl/>
        <w:suppressLineNumbers w:val="0"/>
        <w:shd w:val="clear" w:fill="FFFFFF"/>
        <w:spacing w:before="0" w:beforeAutospacing="1" w:after="0" w:afterAutospacing="1"/>
        <w:ind w:left="0" w:right="0" w:firstLine="0"/>
        <w:jc w:val="left"/>
        <w:rPr>
          <w:rFonts w:hint="eastAsia" w:ascii="宋体" w:hAnsi="宋体" w:eastAsia="宋体" w:cs="宋体"/>
          <w:i w:val="0"/>
          <w:iCs w:val="0"/>
          <w:caps w:val="0"/>
          <w:color w:val="333333"/>
          <w:spacing w:val="0"/>
          <w:sz w:val="31"/>
          <w:szCs w:val="31"/>
        </w:rPr>
      </w:pPr>
      <w:r>
        <w:rPr>
          <w:rFonts w:ascii="黑体" w:hAnsi="宋体" w:eastAsia="黑体" w:cs="黑体"/>
          <w:b w:val="0"/>
          <w:bCs w:val="0"/>
          <w:i w:val="0"/>
          <w:iCs w:val="0"/>
          <w:caps w:val="0"/>
          <w:color w:val="333333"/>
          <w:spacing w:val="-6"/>
          <w:kern w:val="0"/>
          <w:sz w:val="32"/>
          <w:szCs w:val="32"/>
          <w:shd w:val="clear" w:fill="FFFFFF"/>
          <w:lang w:val="en-US" w:eastAsia="zh-CN" w:bidi="ar"/>
        </w:rPr>
        <w:t>一、不予处罚事项清单</w:t>
      </w:r>
    </w:p>
    <w:tbl>
      <w:tblPr>
        <w:tblStyle w:val="3"/>
        <w:tblW w:w="1534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40"/>
        <w:gridCol w:w="1785"/>
        <w:gridCol w:w="1500"/>
        <w:gridCol w:w="2280"/>
        <w:gridCol w:w="7380"/>
        <w:gridCol w:w="15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1" w:hRule="atLeast"/>
        </w:trPr>
        <w:tc>
          <w:tcPr>
            <w:tcW w:w="15345"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ascii="楷体_GB2312" w:hAnsi="宋体" w:eastAsia="楷体_GB2312" w:cs="楷体_GB2312"/>
                <w:b/>
                <w:bCs/>
                <w:i w:val="0"/>
                <w:iCs w:val="0"/>
                <w:caps w:val="0"/>
                <w:color w:val="333333"/>
                <w:spacing w:val="-6"/>
                <w:kern w:val="0"/>
                <w:sz w:val="28"/>
                <w:szCs w:val="28"/>
                <w:lang w:val="en-US" w:eastAsia="zh-CN" w:bidi="ar"/>
              </w:rPr>
              <w:t>（</w:t>
            </w:r>
            <w:r>
              <w:rPr>
                <w:rFonts w:hint="default" w:ascii="楷体_GB2312" w:hAnsi="宋体" w:eastAsia="楷体_GB2312" w:cs="楷体_GB2312"/>
                <w:b/>
                <w:bCs/>
                <w:i w:val="0"/>
                <w:iCs w:val="0"/>
                <w:caps w:val="0"/>
                <w:color w:val="333333"/>
                <w:spacing w:val="-6"/>
                <w:kern w:val="0"/>
                <w:sz w:val="28"/>
                <w:szCs w:val="28"/>
                <w:lang w:val="en-US" w:eastAsia="zh-CN" w:bidi="ar"/>
              </w:rPr>
              <w:t>一）下列违法行为轻微并及时改正，没有造成危害后果的，不予行政处罚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37"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序号</w:t>
            </w:r>
          </w:p>
        </w:tc>
        <w:tc>
          <w:tcPr>
            <w:tcW w:w="17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行政处罚事项</w:t>
            </w:r>
          </w:p>
        </w:tc>
        <w:tc>
          <w:tcPr>
            <w:tcW w:w="15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处罚机关</w:t>
            </w:r>
          </w:p>
        </w:tc>
        <w:tc>
          <w:tcPr>
            <w:tcW w:w="22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不予处罚适用条件</w:t>
            </w:r>
          </w:p>
        </w:tc>
        <w:tc>
          <w:tcPr>
            <w:tcW w:w="73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法律依据</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158"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   1</w:t>
            </w:r>
          </w:p>
        </w:tc>
        <w:tc>
          <w:tcPr>
            <w:tcW w:w="1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渔捞日志填写不规范的</w:t>
            </w:r>
          </w:p>
        </w:tc>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2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渔捞日志有真实填写，但填写不规范，经责令后立即改正，未造成危害后果的</w:t>
            </w:r>
          </w:p>
        </w:tc>
        <w:tc>
          <w:tcPr>
            <w:tcW w:w="73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《渔业捕捞许可管理规定》（2021年12月14日修订）</w:t>
            </w:r>
          </w:p>
          <w:p>
            <w:pPr>
              <w:keepNext w:val="0"/>
              <w:keepLines w:val="0"/>
              <w:widowControl/>
              <w:suppressLineNumbers w:val="0"/>
              <w:spacing w:before="0" w:beforeAutospacing="0" w:after="0" w:afterAutospacing="0"/>
              <w:ind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第五十三条 未按规定提交渔捞日志或者渔捞日志填写不真实、不规范的，由县级以上人民政府渔业主管部门或其所属的渔政监督管理机构给予警告，责令改正；逾期不改正的，可以处1000元以上1万元以下罚款。</w:t>
            </w:r>
          </w:p>
        </w:tc>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逾期不改正的按规定处罚。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09"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  2</w:t>
            </w:r>
          </w:p>
        </w:tc>
        <w:tc>
          <w:tcPr>
            <w:tcW w:w="1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作业人员进行临水作业不穿着救生衣的</w:t>
            </w:r>
          </w:p>
        </w:tc>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海洋与渔业行政执法机关</w:t>
            </w:r>
          </w:p>
        </w:tc>
        <w:tc>
          <w:tcPr>
            <w:tcW w:w="22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有配备救生衣但未穿着，且责令后立即改正，未造成危害后果的</w:t>
            </w:r>
          </w:p>
        </w:tc>
        <w:tc>
          <w:tcPr>
            <w:tcW w:w="73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《福建省渔港和渔业船舶管理条例》（2010年9月30日修正）</w:t>
            </w:r>
          </w:p>
          <w:p>
            <w:pPr>
              <w:keepNext w:val="0"/>
              <w:keepLines w:val="0"/>
              <w:widowControl/>
              <w:suppressLineNumbers w:val="0"/>
              <w:spacing w:before="0" w:beforeAutospacing="0" w:after="0" w:afterAutospacing="0"/>
              <w:ind w:right="0"/>
              <w:jc w:val="both"/>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第四十二条第二款  违反本条例第三十二条规定，作业人员进行临水作业不穿着救生衣的，责令改正，并可按照每人一百元对船舶经营者处以罚款。</w:t>
            </w:r>
          </w:p>
        </w:tc>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1" w:hRule="atLeast"/>
        </w:trPr>
        <w:tc>
          <w:tcPr>
            <w:tcW w:w="1378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default" w:ascii="楷体_GB2312" w:hAnsi="宋体" w:eastAsia="楷体_GB2312" w:cs="楷体_GB2312"/>
                <w:b/>
                <w:bCs/>
                <w:i w:val="0"/>
                <w:iCs w:val="0"/>
                <w:caps w:val="0"/>
                <w:color w:val="333333"/>
                <w:spacing w:val="-6"/>
                <w:kern w:val="0"/>
                <w:sz w:val="28"/>
                <w:szCs w:val="28"/>
                <w:lang w:val="en-US" w:eastAsia="zh-CN" w:bidi="ar"/>
              </w:rPr>
              <w:t>（二）下列违法行为初次违法且危害后果轻微并及时改正的，不予行政处罚</w:t>
            </w:r>
          </w:p>
        </w:tc>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黑体" w:hAnsi="宋体" w:eastAsia="黑体" w:cs="黑体"/>
                <w:b w:val="0"/>
                <w:bCs w:val="0"/>
                <w:i w:val="0"/>
                <w:iCs w:val="0"/>
                <w:caps w:val="0"/>
                <w:color w:val="333333"/>
                <w:spacing w:val="-6"/>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06"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序号</w:t>
            </w:r>
          </w:p>
        </w:tc>
        <w:tc>
          <w:tcPr>
            <w:tcW w:w="1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行政处罚事项</w:t>
            </w:r>
          </w:p>
        </w:tc>
        <w:tc>
          <w:tcPr>
            <w:tcW w:w="15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处罚机关</w:t>
            </w:r>
          </w:p>
        </w:tc>
        <w:tc>
          <w:tcPr>
            <w:tcW w:w="22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不予处罚适用条件</w:t>
            </w:r>
          </w:p>
        </w:tc>
        <w:tc>
          <w:tcPr>
            <w:tcW w:w="73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法律依据</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72"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1</w:t>
            </w:r>
          </w:p>
        </w:tc>
        <w:tc>
          <w:tcPr>
            <w:tcW w:w="1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渔业船舶已登记但未按规定持有船舶国籍证书、船舶登记证书、船舶检验证书的</w:t>
            </w:r>
          </w:p>
        </w:tc>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海洋与渔业行政执法机关</w:t>
            </w:r>
          </w:p>
        </w:tc>
        <w:tc>
          <w:tcPr>
            <w:tcW w:w="22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相关证书都已办理，首次发现临时忘记携带，危害后果轻微，经教育后予及时改正的</w:t>
            </w:r>
          </w:p>
        </w:tc>
        <w:tc>
          <w:tcPr>
            <w:tcW w:w="73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《中华人民共和国渔业港航监督行政处罚规定》（2000年6月13日施行）</w:t>
            </w:r>
          </w:p>
          <w:p>
            <w:pPr>
              <w:keepNext w:val="0"/>
              <w:keepLines w:val="0"/>
              <w:widowControl/>
              <w:suppressLineNumbers w:val="0"/>
              <w:spacing w:before="0" w:beforeAutospacing="0" w:after="0" w:afterAutospacing="0"/>
              <w:ind w:left="0" w:right="0"/>
              <w:jc w:val="left"/>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第十五条  已办理渔业船舶登记手续，但未按规定持有船舶国籍证书、船舶登记证书、船舶检验证书、船舶航行签证簿的，予以警告，责令其改正，并可处200元以上1000元以下罚款。</w:t>
            </w:r>
          </w:p>
        </w:tc>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highlight w:val="none"/>
              </w:rPr>
            </w:pPr>
            <w:r>
              <w:rPr>
                <w:rFonts w:hint="eastAsia" w:ascii="宋体" w:hAnsi="宋体" w:eastAsia="宋体" w:cs="宋体"/>
                <w:b w:val="0"/>
                <w:bCs w:val="0"/>
                <w:i w:val="0"/>
                <w:iCs w:val="0"/>
                <w:caps w:val="0"/>
                <w:color w:val="333333"/>
                <w:spacing w:val="-6"/>
                <w:kern w:val="0"/>
                <w:sz w:val="24"/>
                <w:szCs w:val="24"/>
                <w:highlight w:val="none"/>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654"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 </w:t>
            </w:r>
          </w:p>
          <w:p>
            <w:pPr>
              <w:keepNext w:val="0"/>
              <w:keepLines w:val="0"/>
              <w:widowControl/>
              <w:suppressLineNumbers w:val="0"/>
              <w:spacing w:before="0" w:beforeAutospacing="1" w:after="0" w:afterAutospacing="1"/>
              <w:ind w:left="0" w:right="0" w:firstLine="235"/>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2</w:t>
            </w:r>
          </w:p>
        </w:tc>
        <w:tc>
          <w:tcPr>
            <w:tcW w:w="1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侵犯浅海、滩涂水产增养殖使用权或者承包经营权的</w:t>
            </w:r>
          </w:p>
        </w:tc>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2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首次发现违法，侵犯网箱养殖面积≤5平方米或其他养殖面积≤0.2亩，经责令后立即停止违法行为，赔偿他人损失，且养殖者明确表示不予追究的</w:t>
            </w:r>
          </w:p>
        </w:tc>
        <w:tc>
          <w:tcPr>
            <w:tcW w:w="73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《福建省浅海滩涂水产增养殖管理条例》（2010年9月30日修订）</w:t>
            </w:r>
          </w:p>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第三十一条  侵犯浅海、滩涂水产增养殖使用权或者承包经营权的，由县级以上人民政府渔业行政主管部门或者其所属的渔政监督管理机构责令停止违法行为，可以并处五千元以上二万元以下罚款；造成水产养殖者损失的，应当赔偿损失；构成犯罪的，依法追究刑事责任。</w:t>
            </w:r>
          </w:p>
        </w:tc>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52"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firstLine="235"/>
              <w:jc w:val="both"/>
              <w:rPr>
                <w:rFonts w:hint="default"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3</w:t>
            </w:r>
          </w:p>
        </w:tc>
        <w:tc>
          <w:tcPr>
            <w:tcW w:w="1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未按照捕捞许可证关于作业类型、场所、时限和渔具数量规定进行捕捞的</w:t>
            </w:r>
          </w:p>
        </w:tc>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2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首次被发现；船上无渔获物；及时停止捕捞行为并在限期内改正的。</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p>
        </w:tc>
        <w:tc>
          <w:tcPr>
            <w:tcW w:w="73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《福建省实施〈中华人民共和国渔业法〉办法》（2019年11月27日修正）第四十九条  违反本办法第二十六条第二规定，未按照捕捞许可证关于作业类型、场所、时限和渔具数量规定进行捕捞的，没收渔获物和违法所得，可以按照下列规定并处罚款：</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（一）船长大于或者等于二十四米的海洋机动渔业船舶，处三万元至五万元的罚款；</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（二）船长大于或者等于十二米且小于二十四米的海洋机动渔业船舶，处一万元至三万元的罚款；</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（三）船长小于十二米的海洋机动渔业船舶，处二千元至一万元的罚款；</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（四）内陆水域渔业船舶，处五百元至一千元的罚款。</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p>
        </w:tc>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批评教育，责令改正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189"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4</w:t>
            </w:r>
          </w:p>
        </w:tc>
        <w:tc>
          <w:tcPr>
            <w:tcW w:w="1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随船携带禁用渔具或者不符合规格标准的渔具进行捕捞的</w:t>
            </w:r>
          </w:p>
        </w:tc>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2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首次被发现；船上无渔获物；主动上缴禁用渔具或者不符合规格标准渔具；</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p>
        </w:tc>
        <w:tc>
          <w:tcPr>
            <w:tcW w:w="73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《福建省实施〈中华人民共和国渔业法〉办法》（2019年11月27日修正）第五十五条  违反本办法第三十九条规定，使用禁用的渔具、不符合规格标准的渔具、破坏渔业资源的捕捞方法进行捕捞的，没收渔获物和违法所得，并按照下列规定分别处以罚款：（五）在海洋随船携带、使用禁用渔具或者不符合规格标准的渔具进行捕捞的，处三万元至五万元的罚款。</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p>
        </w:tc>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批评教育，责令改正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830"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5</w:t>
            </w:r>
          </w:p>
        </w:tc>
        <w:tc>
          <w:tcPr>
            <w:tcW w:w="1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未依法取得渔港经营许可，从事渔港经营活动的</w:t>
            </w:r>
          </w:p>
        </w:tc>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2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首次被发现；未造成危害后果、违法所得低于2000元；及时停止违法行为并在限期内改正的。</w:t>
            </w:r>
          </w:p>
        </w:tc>
        <w:tc>
          <w:tcPr>
            <w:tcW w:w="73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《福建省渔港和渔业船舶管理条例》第三十七条 违反本条例第十三条规定，未依法取得渔港经营许可，从事渔港经营活动的，责令停止违法经营，没收违法所得；违法所得十万元以上的，并处违法所得二倍罚款；违法所得不足十万元的，处以五万元罚款。</w:t>
            </w:r>
          </w:p>
        </w:tc>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批评教育，责令改正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1378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default" w:ascii="楷体_GB2312" w:hAnsi="宋体" w:eastAsia="楷体_GB2312" w:cs="楷体_GB2312"/>
                <w:b/>
                <w:bCs/>
                <w:i w:val="0"/>
                <w:iCs w:val="0"/>
                <w:caps w:val="0"/>
                <w:color w:val="333333"/>
                <w:spacing w:val="-6"/>
                <w:kern w:val="0"/>
                <w:sz w:val="28"/>
                <w:szCs w:val="28"/>
                <w:lang w:val="en-US" w:eastAsia="zh-CN" w:bidi="ar"/>
              </w:rPr>
              <w:t>（三）下列违法行为当事人有证据足以证明没有主观过错的，不予行政处罚</w:t>
            </w:r>
          </w:p>
        </w:tc>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黑体" w:hAnsi="宋体" w:eastAsia="黑体" w:cs="黑体"/>
                <w:b w:val="0"/>
                <w:bCs w:val="0"/>
                <w:i w:val="0"/>
                <w:iCs w:val="0"/>
                <w:caps w:val="0"/>
                <w:color w:val="333333"/>
                <w:spacing w:val="-6"/>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37"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序号</w:t>
            </w:r>
          </w:p>
        </w:tc>
        <w:tc>
          <w:tcPr>
            <w:tcW w:w="1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行政处罚事项</w:t>
            </w:r>
          </w:p>
        </w:tc>
        <w:tc>
          <w:tcPr>
            <w:tcW w:w="15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处罚机关</w:t>
            </w:r>
          </w:p>
        </w:tc>
        <w:tc>
          <w:tcPr>
            <w:tcW w:w="22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不予处罚适用条件</w:t>
            </w:r>
          </w:p>
        </w:tc>
        <w:tc>
          <w:tcPr>
            <w:tcW w:w="73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法律依据</w:t>
            </w:r>
          </w:p>
        </w:tc>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557"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  1</w:t>
            </w:r>
          </w:p>
        </w:tc>
        <w:tc>
          <w:tcPr>
            <w:tcW w:w="1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人为损坏渔港设施的</w:t>
            </w:r>
          </w:p>
        </w:tc>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2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当事人有证据足以证明系天气等自然因素原因造成碰撞损坏，没有主观过错，且积极承担赔偿责任的</w:t>
            </w:r>
          </w:p>
        </w:tc>
        <w:tc>
          <w:tcPr>
            <w:tcW w:w="73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《福建省渔港和渔业船舶管理条例》（2010年9月30日修正）</w:t>
            </w:r>
          </w:p>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第三十九条  违反本条例第十八条第一款规定，人为损坏渔港设施的，应当承担赔偿责任，属于故意损坏的，并处以一千元以上五千元以下的罚款；构成犯罪的，依法追究刑事责任。</w:t>
            </w:r>
          </w:p>
        </w:tc>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894"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2</w:t>
            </w:r>
          </w:p>
        </w:tc>
        <w:tc>
          <w:tcPr>
            <w:tcW w:w="1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未规范标写渔船船名、船号、船籍港，没有悬挂船名牌</w:t>
            </w:r>
          </w:p>
        </w:tc>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2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渔船出港作业前有规范标写正确的船名、船号、船籍港，有悬挂船名牌，当事人有证据足以证明系天气等自然因素原因导致渔船船名、船号、船籍港编写或悬挂不规范、遮挡或者褪色等情形，并在改正期限内及时改正的</w:t>
            </w:r>
          </w:p>
        </w:tc>
        <w:tc>
          <w:tcPr>
            <w:tcW w:w="73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《中华人民共和国渔业港航监督行政处罚规定》</w:t>
            </w:r>
          </w:p>
          <w:p>
            <w:pPr>
              <w:keepNext w:val="0"/>
              <w:keepLines w:val="0"/>
              <w:widowControl/>
              <w:suppressLineNumbers w:val="0"/>
              <w:spacing w:before="0" w:beforeAutospacing="0" w:after="0" w:afterAutospacing="0"/>
              <w:ind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第二十条第一款：有下列行为之一的，责令其限期改正，对船舶所有者或经营者处200元以上1000元以下罚款：</w:t>
            </w:r>
          </w:p>
          <w:p>
            <w:pPr>
              <w:keepNext w:val="0"/>
              <w:keepLines w:val="0"/>
              <w:widowControl/>
              <w:suppressLineNumbers w:val="0"/>
              <w:spacing w:before="0" w:beforeAutospacing="0" w:after="0" w:afterAutospacing="0"/>
              <w:ind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（一）未按规定标写船名、船号、船籍港，没有悬挂船名牌的。</w:t>
            </w:r>
          </w:p>
        </w:tc>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 </w:t>
            </w:r>
          </w:p>
        </w:tc>
      </w:tr>
    </w:tbl>
    <w:p>
      <w:pPr>
        <w:keepNext w:val="0"/>
        <w:keepLines w:val="0"/>
        <w:widowControl/>
        <w:suppressLineNumbers w:val="0"/>
        <w:shd w:val="clear" w:fill="FFFFFF"/>
        <w:spacing w:before="0" w:beforeAutospacing="1" w:after="0" w:afterAutospacing="1"/>
        <w:ind w:left="0" w:right="0" w:firstLine="0"/>
        <w:jc w:val="both"/>
        <w:rPr>
          <w:rFonts w:hint="eastAsia" w:ascii="宋体" w:hAnsi="宋体" w:eastAsia="宋体" w:cs="宋体"/>
          <w:i w:val="0"/>
          <w:iCs w:val="0"/>
          <w:caps w:val="0"/>
          <w:color w:val="333333"/>
          <w:spacing w:val="0"/>
          <w:sz w:val="31"/>
          <w:szCs w:val="31"/>
        </w:rPr>
      </w:pPr>
      <w:r>
        <w:rPr>
          <w:rFonts w:ascii="仿宋_GB2312" w:hAnsi="宋体" w:eastAsia="仿宋_GB2312" w:cs="仿宋_GB2312"/>
          <w:b w:val="0"/>
          <w:bCs w:val="0"/>
          <w:i w:val="0"/>
          <w:iCs w:val="0"/>
          <w:caps w:val="0"/>
          <w:color w:val="333333"/>
          <w:spacing w:val="-6"/>
          <w:kern w:val="0"/>
          <w:sz w:val="32"/>
          <w:szCs w:val="32"/>
          <w:shd w:val="clear" w:fill="FFFFFF"/>
          <w:lang w:val="en-US" w:eastAsia="zh-CN" w:bidi="ar"/>
        </w:rPr>
        <w:br w:type="textWrapping"/>
      </w:r>
      <w:r>
        <w:rPr>
          <w:rFonts w:hint="eastAsia" w:ascii="黑体" w:hAnsi="宋体" w:eastAsia="黑体" w:cs="黑体"/>
          <w:b w:val="0"/>
          <w:bCs w:val="0"/>
          <w:i w:val="0"/>
          <w:iCs w:val="0"/>
          <w:caps w:val="0"/>
          <w:color w:val="333333"/>
          <w:spacing w:val="-6"/>
          <w:kern w:val="0"/>
          <w:sz w:val="32"/>
          <w:szCs w:val="32"/>
          <w:shd w:val="clear" w:fill="FFFFFF"/>
          <w:lang w:val="en-US" w:eastAsia="zh-CN" w:bidi="ar"/>
        </w:rPr>
        <w:t>二、从轻行政处罚事项清单</w:t>
      </w:r>
    </w:p>
    <w:tbl>
      <w:tblPr>
        <w:tblStyle w:val="3"/>
        <w:tblW w:w="1534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40"/>
        <w:gridCol w:w="1781"/>
        <w:gridCol w:w="1504"/>
        <w:gridCol w:w="2295"/>
        <w:gridCol w:w="7350"/>
        <w:gridCol w:w="15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37" w:hRule="atLeast"/>
        </w:trPr>
        <w:tc>
          <w:tcPr>
            <w:tcW w:w="8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序号</w:t>
            </w:r>
          </w:p>
        </w:tc>
        <w:tc>
          <w:tcPr>
            <w:tcW w:w="178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行政处罚事项</w:t>
            </w:r>
          </w:p>
        </w:tc>
        <w:tc>
          <w:tcPr>
            <w:tcW w:w="15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处罚机关</w:t>
            </w:r>
          </w:p>
        </w:tc>
        <w:tc>
          <w:tcPr>
            <w:tcW w:w="229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从轻处罚适用条件</w:t>
            </w:r>
          </w:p>
        </w:tc>
        <w:tc>
          <w:tcPr>
            <w:tcW w:w="73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法律依据</w:t>
            </w:r>
          </w:p>
        </w:tc>
        <w:tc>
          <w:tcPr>
            <w:tcW w:w="15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527"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1</w:t>
            </w:r>
          </w:p>
        </w:tc>
        <w:tc>
          <w:tcPr>
            <w:tcW w:w="17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对渔业船舶应当申报营运检验或者临时检验，经责令后逾期仍不申报检验的行政处罚</w:t>
            </w:r>
          </w:p>
        </w:tc>
        <w:tc>
          <w:tcPr>
            <w:tcW w:w="15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2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涉案渔业船舶在未申报运营检验或者临时检验期间未离港、未作业，非因当事人主观故意逾期不申报检验，被通报后及时改正的</w:t>
            </w:r>
          </w:p>
        </w:tc>
        <w:tc>
          <w:tcPr>
            <w:tcW w:w="7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《中华人民共和国渔业船舶检验条例》（2003年8月1日施行）</w:t>
            </w:r>
          </w:p>
          <w:p>
            <w:pPr>
              <w:keepNext w:val="0"/>
              <w:keepLines w:val="0"/>
              <w:widowControl/>
              <w:suppressLineNumbers w:val="0"/>
              <w:spacing w:before="0" w:beforeAutospacing="0" w:after="0" w:afterAutospacing="0"/>
              <w:ind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第三十三条  违反本条例规定，渔业船舶应当申报营运检验或者临时检验而不申报的，责令立即停止作业，限期申报检验；逾期仍不申报检验的，处1000元以上1万元以下的罚款，并可以暂扣渔业船舶检验证书。</w:t>
            </w:r>
          </w:p>
        </w:tc>
        <w:tc>
          <w:tcPr>
            <w:tcW w:w="15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12" w:hRule="atLeast"/>
        </w:trPr>
        <w:tc>
          <w:tcPr>
            <w:tcW w:w="8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2</w:t>
            </w:r>
          </w:p>
        </w:tc>
        <w:tc>
          <w:tcPr>
            <w:tcW w:w="17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对渔业船舶改建后未按规定办理变更登记的处罚</w:t>
            </w:r>
          </w:p>
        </w:tc>
        <w:tc>
          <w:tcPr>
            <w:tcW w:w="15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2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涉案渔业船舶改建后未按规定办理变更登记，经发现后积极办理并在立案之日起14日内办理完成，且改建后未离港、未作业。变更主机功率的除外。</w:t>
            </w:r>
          </w:p>
        </w:tc>
        <w:tc>
          <w:tcPr>
            <w:tcW w:w="73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《中华人民共和国渔业港航监督行政处罚规定》（2000年农业部令第34号）</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第十七条  渔业船舶改建后，未按规定办理变更登记，应禁止其离港，责令其限期改正，并可对船舶所有者处5000元以上20000元以下罚款。 　　</w:t>
            </w:r>
          </w:p>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变更主机功率未按规定办理变更登记的，从重处罚。</w:t>
            </w:r>
          </w:p>
        </w:tc>
        <w:tc>
          <w:tcPr>
            <w:tcW w:w="15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变更主机功率的除外。</w:t>
            </w:r>
          </w:p>
        </w:tc>
      </w:tr>
    </w:tbl>
    <w:p>
      <w:pPr>
        <w:keepNext w:val="0"/>
        <w:keepLines w:val="0"/>
        <w:widowControl/>
        <w:suppressLineNumbers w:val="0"/>
        <w:shd w:val="clear" w:fill="FFFFFF"/>
        <w:spacing w:before="0" w:beforeAutospacing="1" w:after="0" w:afterAutospacing="1"/>
        <w:ind w:left="0" w:right="0" w:firstLine="0"/>
        <w:jc w:val="left"/>
        <w:rPr>
          <w:rFonts w:hint="eastAsia" w:ascii="宋体" w:hAnsi="宋体" w:eastAsia="宋体" w:cs="宋体"/>
          <w:i w:val="0"/>
          <w:iCs w:val="0"/>
          <w:caps w:val="0"/>
          <w:color w:val="333333"/>
          <w:spacing w:val="0"/>
          <w:sz w:val="31"/>
          <w:szCs w:val="31"/>
        </w:rPr>
      </w:pPr>
      <w:r>
        <w:rPr>
          <w:rFonts w:hint="eastAsia" w:ascii="黑体" w:hAnsi="宋体" w:eastAsia="黑体" w:cs="黑体"/>
          <w:b w:val="0"/>
          <w:bCs w:val="0"/>
          <w:i w:val="0"/>
          <w:iCs w:val="0"/>
          <w:caps w:val="0"/>
          <w:color w:val="333333"/>
          <w:spacing w:val="-6"/>
          <w:kern w:val="0"/>
          <w:sz w:val="32"/>
          <w:szCs w:val="32"/>
          <w:shd w:val="clear" w:fill="FFFFFF"/>
          <w:lang w:val="en-US" w:eastAsia="zh-CN" w:bidi="ar"/>
        </w:rPr>
        <w:t> 三、减轻行政处罚事项清单</w:t>
      </w:r>
    </w:p>
    <w:tbl>
      <w:tblPr>
        <w:tblStyle w:val="3"/>
        <w:tblW w:w="1534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25"/>
        <w:gridCol w:w="1796"/>
        <w:gridCol w:w="1519"/>
        <w:gridCol w:w="2295"/>
        <w:gridCol w:w="7320"/>
        <w:gridCol w:w="15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37" w:hRule="atLeast"/>
        </w:trPr>
        <w:tc>
          <w:tcPr>
            <w:tcW w:w="8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序号</w:t>
            </w:r>
          </w:p>
        </w:tc>
        <w:tc>
          <w:tcPr>
            <w:tcW w:w="17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行政处罚事项</w:t>
            </w:r>
          </w:p>
        </w:tc>
        <w:tc>
          <w:tcPr>
            <w:tcW w:w="15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处罚机关</w:t>
            </w:r>
          </w:p>
        </w:tc>
        <w:tc>
          <w:tcPr>
            <w:tcW w:w="229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减轻处罚适用条件</w:t>
            </w:r>
          </w:p>
        </w:tc>
        <w:tc>
          <w:tcPr>
            <w:tcW w:w="73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法律依据</w:t>
            </w:r>
          </w:p>
        </w:tc>
        <w:tc>
          <w:tcPr>
            <w:tcW w:w="15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094"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1</w:t>
            </w:r>
          </w:p>
        </w:tc>
        <w:tc>
          <w:tcPr>
            <w:tcW w:w="179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在非紧急情况下，未经渔政渔港监督管理机关批准，滥用烟火信号、信号枪、无线电设备、号笛及其他遇险求救信号的</w:t>
            </w:r>
          </w:p>
        </w:tc>
        <w:tc>
          <w:tcPr>
            <w:tcW w:w="15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2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未经渔政渔港监督管理机关批准，滥用烟火信号、信号枪、无线电设备、号笛及其他遇险求救信号，仅违反其中一项的，主动认识错误，没有造成危害后果的</w:t>
            </w:r>
          </w:p>
        </w:tc>
        <w:tc>
          <w:tcPr>
            <w:tcW w:w="73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《中华人民共和国渔业港航监督行政处罚规定》（2000年6月13日施行）</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第二十条  有下列行为之一的，责令其限期改正，对船舶所有者或经营者处200元以上1000元以下罚款；</w:t>
            </w:r>
          </w:p>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(二)在非紧急情况下，未经渔政渔港监督管理机关批准，滥用烟火信号、信号枪、无线电设备、号笛及其他遇险求救信号的；</w:t>
            </w:r>
          </w:p>
        </w:tc>
        <w:tc>
          <w:tcPr>
            <w:tcW w:w="15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648"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2</w:t>
            </w:r>
          </w:p>
        </w:tc>
        <w:tc>
          <w:tcPr>
            <w:tcW w:w="179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未按规定时间提交《海事报告书》</w:t>
            </w:r>
          </w:p>
        </w:tc>
        <w:tc>
          <w:tcPr>
            <w:tcW w:w="15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2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首次发现违法，非涉外海事事故，逾期提交不超过三天，经告知后及时提交，且未对事故调查造成影响的</w:t>
            </w:r>
          </w:p>
        </w:tc>
        <w:tc>
          <w:tcPr>
            <w:tcW w:w="73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《中华人民共和国渔业港航监督行政处罚规定》（2000年6月13日施行）</w:t>
            </w:r>
          </w:p>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第三十三条  发生水上交通事故的船舶，有下列行为之一的，对船长处50元以上500元以下罚款：   　</w:t>
            </w:r>
          </w:p>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(一)未按规定时间向渔政渔港监督管理机关提交《海事报告书》的；</w:t>
            </w:r>
          </w:p>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   </w:t>
            </w:r>
          </w:p>
        </w:tc>
        <w:tc>
          <w:tcPr>
            <w:tcW w:w="15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 </w:t>
            </w:r>
          </w:p>
        </w:tc>
      </w:tr>
    </w:tbl>
    <w:p>
      <w:pPr>
        <w:keepNext w:val="0"/>
        <w:keepLines w:val="0"/>
        <w:widowControl/>
        <w:suppressLineNumbers w:val="0"/>
        <w:shd w:val="clear" w:fill="FFFFFF"/>
        <w:spacing w:before="0" w:beforeAutospacing="1" w:after="0" w:afterAutospacing="1" w:line="560" w:lineRule="atLeast"/>
        <w:ind w:left="0" w:right="0" w:firstLine="0"/>
        <w:jc w:val="both"/>
        <w:rPr>
          <w:rFonts w:hint="eastAsia" w:ascii="黑体" w:hAnsi="宋体" w:eastAsia="黑体" w:cs="黑体"/>
          <w:b w:val="0"/>
          <w:bCs w:val="0"/>
          <w:i w:val="0"/>
          <w:iCs w:val="0"/>
          <w:caps w:val="0"/>
          <w:color w:val="333333"/>
          <w:spacing w:val="-6"/>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line="560" w:lineRule="atLeast"/>
        <w:ind w:left="0" w:right="0" w:firstLine="0"/>
        <w:jc w:val="both"/>
        <w:rPr>
          <w:rFonts w:hint="eastAsia" w:ascii="黑体" w:hAnsi="宋体" w:eastAsia="黑体" w:cs="黑体"/>
          <w:b w:val="0"/>
          <w:bCs w:val="0"/>
          <w:i w:val="0"/>
          <w:iCs w:val="0"/>
          <w:caps w:val="0"/>
          <w:color w:val="333333"/>
          <w:spacing w:val="-6"/>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line="560" w:lineRule="atLeast"/>
        <w:ind w:left="0" w:right="0" w:firstLine="0"/>
        <w:jc w:val="both"/>
        <w:rPr>
          <w:rFonts w:hint="eastAsia" w:ascii="宋体" w:hAnsi="宋体" w:eastAsia="宋体" w:cs="宋体"/>
          <w:i w:val="0"/>
          <w:iCs w:val="0"/>
          <w:caps w:val="0"/>
          <w:color w:val="333333"/>
          <w:spacing w:val="0"/>
          <w:sz w:val="31"/>
          <w:szCs w:val="31"/>
        </w:rPr>
      </w:pPr>
      <w:r>
        <w:rPr>
          <w:rFonts w:hint="eastAsia" w:ascii="黑体" w:hAnsi="宋体" w:eastAsia="黑体" w:cs="黑体"/>
          <w:b w:val="0"/>
          <w:bCs w:val="0"/>
          <w:i w:val="0"/>
          <w:iCs w:val="0"/>
          <w:caps w:val="0"/>
          <w:color w:val="333333"/>
          <w:spacing w:val="-6"/>
          <w:kern w:val="0"/>
          <w:sz w:val="32"/>
          <w:szCs w:val="32"/>
          <w:shd w:val="clear" w:fill="FFFFFF"/>
          <w:lang w:val="en-US" w:eastAsia="zh-CN" w:bidi="ar"/>
        </w:rPr>
        <w:t>四、免予行政强制事项清单</w:t>
      </w:r>
    </w:p>
    <w:tbl>
      <w:tblPr>
        <w:tblStyle w:val="3"/>
        <w:tblW w:w="153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95"/>
        <w:gridCol w:w="1830"/>
        <w:gridCol w:w="1500"/>
        <w:gridCol w:w="2325"/>
        <w:gridCol w:w="7320"/>
        <w:gridCol w:w="15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37" w:hRule="atLeast"/>
        </w:trPr>
        <w:tc>
          <w:tcPr>
            <w:tcW w:w="79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序号</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行政强制事项</w:t>
            </w:r>
          </w:p>
        </w:tc>
        <w:tc>
          <w:tcPr>
            <w:tcW w:w="15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实施机关</w:t>
            </w:r>
          </w:p>
        </w:tc>
        <w:tc>
          <w:tcPr>
            <w:tcW w:w="23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免予行政强制适用条件</w:t>
            </w:r>
          </w:p>
        </w:tc>
        <w:tc>
          <w:tcPr>
            <w:tcW w:w="73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法律依据</w:t>
            </w:r>
          </w:p>
        </w:tc>
        <w:tc>
          <w:tcPr>
            <w:tcW w:w="15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534" w:hRule="atLeast"/>
        </w:trPr>
        <w:tc>
          <w:tcPr>
            <w:tcW w:w="7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425" w:right="0" w:hanging="425"/>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1. </w:t>
            </w:r>
          </w:p>
        </w:tc>
        <w:tc>
          <w:tcPr>
            <w:tcW w:w="18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查封、扣押不符合农产品质量安全标准的水产品</w:t>
            </w:r>
          </w:p>
        </w:tc>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3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不符合农产品质量安全标准的水产品≤50公斤，且尚未销售，并及时对该农产品进行无害化处置或销毁的</w:t>
            </w:r>
          </w:p>
        </w:tc>
        <w:tc>
          <w:tcPr>
            <w:tcW w:w="73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《中华人民共和国农产品质量安全法》（2022年9月2日修订）</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第五十三条 开展农产品质量安全监督检查，有权采取下列措施：</w:t>
            </w:r>
          </w:p>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（四）查封、扣押有证据证明存在农产品质量安全隐患或者经检测不符合农产品质量标准的农产品。</w:t>
            </w:r>
          </w:p>
        </w:tc>
        <w:tc>
          <w:tcPr>
            <w:tcW w:w="15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15" w:hRule="atLeast"/>
        </w:trPr>
        <w:tc>
          <w:tcPr>
            <w:tcW w:w="7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425" w:right="0" w:hanging="425"/>
              <w:jc w:val="center"/>
              <w:rPr>
                <w:rFonts w:hint="eastAsia" w:ascii="宋体" w:hAnsi="宋体" w:eastAsia="宋体" w:cs="宋体"/>
              </w:rPr>
            </w:pPr>
            <w:r>
              <w:rPr>
                <w:rFonts w:hint="eastAsia" w:ascii="黑体" w:hAnsi="宋体" w:eastAsia="黑体" w:cs="黑体"/>
                <w:b w:val="0"/>
                <w:bCs w:val="0"/>
                <w:i w:val="0"/>
                <w:iCs w:val="0"/>
                <w:caps w:val="0"/>
                <w:color w:val="333333"/>
                <w:spacing w:val="-6"/>
                <w:kern w:val="0"/>
                <w:sz w:val="24"/>
                <w:szCs w:val="24"/>
                <w:lang w:val="en-US" w:eastAsia="zh-CN" w:bidi="ar"/>
              </w:rPr>
              <w:t>2. </w:t>
            </w:r>
          </w:p>
        </w:tc>
        <w:tc>
          <w:tcPr>
            <w:tcW w:w="18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对造成或可能造成海上交通安全危害的、发生事故的渔港内船舶（设施）采取强制性处置措施</w:t>
            </w:r>
          </w:p>
        </w:tc>
        <w:tc>
          <w:tcPr>
            <w:tcW w:w="1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海洋与渔业行政执法机关</w:t>
            </w:r>
          </w:p>
        </w:tc>
        <w:tc>
          <w:tcPr>
            <w:tcW w:w="23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渔港内的船舶、设施发生事故，行政相对人自行积极处置，在检查当日完成处置，完全消除造成或可能造成海上交通安全危害的因素，已自行消除妨害、排除风险的</w:t>
            </w:r>
          </w:p>
        </w:tc>
        <w:tc>
          <w:tcPr>
            <w:tcW w:w="73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《中华人民共和国渔港水域交通安全管理条例》（国务院令第38号）</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第十九条 渔港内的船舶、设施发生事故，对海上交通安全造成或者可能造成危害，渔政渔港监督管理机关有权对其采取强制性处置措施。</w:t>
            </w:r>
          </w:p>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i w:val="0"/>
                <w:iCs w:val="0"/>
                <w:caps w:val="0"/>
                <w:color w:val="333333"/>
                <w:spacing w:val="-6"/>
                <w:kern w:val="0"/>
                <w:sz w:val="24"/>
                <w:szCs w:val="24"/>
                <w:lang w:val="en-US" w:eastAsia="zh-CN" w:bidi="ar"/>
              </w:rPr>
            </w:pPr>
            <w:r>
              <w:rPr>
                <w:rFonts w:hint="eastAsia" w:ascii="宋体" w:hAnsi="宋体" w:eastAsia="宋体" w:cs="宋体"/>
                <w:b w:val="0"/>
                <w:bCs w:val="0"/>
                <w:i w:val="0"/>
                <w:iCs w:val="0"/>
                <w:caps w:val="0"/>
                <w:color w:val="333333"/>
                <w:spacing w:val="-6"/>
                <w:kern w:val="0"/>
                <w:sz w:val="24"/>
                <w:szCs w:val="24"/>
                <w:lang w:val="en-US" w:eastAsia="zh-CN" w:bidi="ar"/>
              </w:rPr>
              <w:t>《中华人民共和国海上交通安全法》（2021年4月29日修订）</w:t>
            </w:r>
          </w:p>
          <w:p>
            <w:pPr>
              <w:keepNext w:val="0"/>
              <w:keepLines w:val="0"/>
              <w:widowControl/>
              <w:suppressLineNumbers w:val="0"/>
              <w:spacing w:before="0" w:beforeAutospacing="0" w:after="0" w:afterAutospacing="0"/>
              <w:ind w:left="0" w:right="0"/>
              <w:jc w:val="both"/>
              <w:rPr>
                <w:rFonts w:hint="eastAsia" w:ascii="宋体" w:hAnsi="宋体" w:eastAsia="宋体" w:cs="宋体"/>
              </w:rPr>
            </w:pPr>
            <w:r>
              <w:rPr>
                <w:rFonts w:hint="eastAsia" w:ascii="宋体" w:hAnsi="宋体" w:eastAsia="宋体" w:cs="宋体"/>
                <w:b w:val="0"/>
                <w:bCs w:val="0"/>
                <w:i w:val="0"/>
                <w:iCs w:val="0"/>
                <w:caps w:val="0"/>
                <w:color w:val="333333"/>
                <w:spacing w:val="-6"/>
                <w:kern w:val="0"/>
                <w:sz w:val="24"/>
                <w:szCs w:val="24"/>
                <w:lang w:val="en-US" w:eastAsia="zh-CN" w:bidi="ar"/>
              </w:rPr>
              <w:t>第一百一十八条第三款 渔业船员、渔业无线电、渔业航标的监督管理，渔业船舶的登记管理，渔港水域内的海上交通安全管理，渔业船舶（含外国籍渔业船舶）之间交通事故的调查处理，由县级以上人民政府渔业渔政主管部门负责。</w:t>
            </w:r>
          </w:p>
        </w:tc>
        <w:tc>
          <w:tcPr>
            <w:tcW w:w="15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 </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zQ0MDYzMWJhYmFhMzY0ZDk1ZGI1ODNlNjgwMGIifQ=="/>
  </w:docVars>
  <w:rsids>
    <w:rsidRoot w:val="18D85470"/>
    <w:rsid w:val="18D85470"/>
    <w:rsid w:val="1CB230E3"/>
    <w:rsid w:val="58EA662C"/>
    <w:rsid w:val="7352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2024-01-23T07:51:00Z</dcterms:created>
  <dc:creator>hdpQZ</dc:creator>
  <cp:lastModifiedBy>sophia</cp:lastModifiedBy>
  <dcterms:modified xsi:type="dcterms:W3CDTF">2024-01-29T07:58:17Z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DD06854D8CE64606B931F5BD41276655_13</vt:lpwstr>
  </property>
</Properties>
</file>