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黑体" w:cs="仿宋_GB2312"/>
          <w:color w:val="000000"/>
          <w:kern w:val="0"/>
          <w:sz w:val="31"/>
          <w:szCs w:val="31"/>
          <w:lang w:bidi="ar"/>
        </w:rPr>
        <w:t>附件</w:t>
      </w:r>
      <w:r>
        <w:rPr>
          <w:rFonts w:ascii="Times New Roman" w:hAnsi="Times New Roman" w:eastAsia="黑体" w:cs="仿宋_GB2312"/>
          <w:color w:val="000000"/>
          <w:kern w:val="0"/>
          <w:sz w:val="31"/>
          <w:szCs w:val="31"/>
          <w:lang w:bidi="ar"/>
        </w:rPr>
        <w:t>1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仿宋_GB2312"/>
          <w:color w:val="000000"/>
          <w:kern w:val="0"/>
          <w:sz w:val="44"/>
          <w:szCs w:val="44"/>
          <w:lang w:bidi="ar"/>
        </w:rPr>
      </w:pPr>
      <w:bookmarkStart w:id="1" w:name="_GoBack"/>
      <w:bookmarkStart w:id="0" w:name="_Hlk127453205"/>
      <w:r>
        <w:rPr>
          <w:rFonts w:hint="eastAsia" w:ascii="Times New Roman" w:hAnsi="Times New Roman" w:eastAsia="方正小标宋简体" w:cs="仿宋_GB2312"/>
          <w:color w:val="000000"/>
          <w:kern w:val="0"/>
          <w:sz w:val="44"/>
          <w:szCs w:val="44"/>
          <w:lang w:bidi="ar"/>
        </w:rPr>
        <w:t>泉州市渔业船舶风险管控等级变动标准</w:t>
      </w:r>
      <w:bookmarkEnd w:id="0"/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945"/>
        <w:gridCol w:w="1560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  <w:t>序号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  <w:t>违法违规情形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  <w:t>触发频次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31"/>
                <w:szCs w:val="31"/>
                <w:lang w:bidi="ar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发生较大及以上安全事故负主要责任的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《中华人民共和国安全生产法》（2021修订版）第九十五条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防抗台风等自然灾害应急期间,拒不服从各级人民政府及防汛抗旱指挥部的撤离、转移上岸等统一指令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《福建省实施〈中华人民共和国渔业法〉办法》第五十二条规定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擅自进入敏感水域或违规进入他国管辖水域，被他方查扣的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《福建省实施〈中华人民共和国渔业法〉办法》第五十条第二款规定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擅自拆卸、故意损坏渔船安全救助终端或屏蔽渔船安全救助终端设备的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《福建省实施〈中华人民共和国渔业法〉办法》第二十九条第三款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擅自改装、改建渔业船舶及擅自移除船上法定生产安全设施、设备的，造成安全事故的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《渔业船舶检验条例》（国务院令第383号）第三十四条规定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未按规定接受船舶检验的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《渔业船舶检验条例》（国务院令第383号）第三十二条规定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职务船员配备不满足最低配员标准出海生产的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《福建省实施&lt;中华人民共和国渔业法&gt;办法》第五十条第一款规定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海上航行、生产作业期间未按规定落实值班</w:t>
            </w:r>
            <w:r>
              <w:rPr>
                <w:rFonts w:hint="eastAsia" w:ascii="Times New Roman" w:hAnsi="Times New Roman" w:eastAsia="方正仿宋简体" w:cs="微软雅黑"/>
                <w:color w:val="000000"/>
                <w:spacing w:val="-6"/>
                <w:kern w:val="0"/>
                <w:sz w:val="28"/>
                <w:szCs w:val="28"/>
                <w:lang w:bidi="ar"/>
              </w:rPr>
              <w:t>瞭</w:t>
            </w: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望、规范驾驶的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《中华人民共和国海上交通安全法》第四十二条规定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擅自进入敏感水域或违规进入他国管辖水域，劝导超2小时（非机械故障影响航行）未及时撤离的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《福建省实施〈中华人民共和国渔业法〉办法》第五十条第二款规定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对北斗示位仪连续离线3小时以上，且无法通过其他电子设备系统平台核查船位的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《福建省实施〈中华人民共和国渔业法〉办法》第二十九条第三款</w:t>
            </w:r>
          </w:p>
        </w:tc>
      </w:tr>
    </w:tbl>
    <w:p>
      <w:pPr>
        <w:rPr>
          <w:rFonts w:hint="eastAsia" w:ascii="Times New Roman" w:hAnsi="Times New Roman" w:eastAsia="黑体" w:cs="仿宋_GB2312"/>
          <w:color w:val="000000"/>
          <w:kern w:val="0"/>
          <w:sz w:val="31"/>
          <w:szCs w:val="31"/>
          <w:lang w:bidi="ar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2FBD27A7"/>
    <w:rsid w:val="00847767"/>
    <w:rsid w:val="085E0A27"/>
    <w:rsid w:val="0F8C5DA4"/>
    <w:rsid w:val="1B9E2734"/>
    <w:rsid w:val="2FBD27A7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632</Characters>
  <Lines>0</Lines>
  <Paragraphs>0</Paragraphs>
  <TotalTime>1</TotalTime>
  <ScaleCrop>false</ScaleCrop>
  <LinksUpToDate>false</LinksUpToDate>
  <CharactersWithSpaces>632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2023-04-19T02:27:00Z</dcterms:created>
  <dc:creator>admin</dc:creator>
  <cp:lastModifiedBy>admin</cp:lastModifiedBy>
  <dcterms:modified xsi:type="dcterms:W3CDTF">2023-04-19T02:29:11Z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C5470D1D48E8423DBB876E70BD1A6FAE_11</vt:lpwstr>
  </property>
</Properties>
</file>