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26"/>
        <w:rPr>
          <w:rFonts w:hint="default" w:ascii="Times New Roman" w:hAnsi="Times New Roman" w:eastAsia="方正黑体简体"/>
          <w:lang w:val="en-US" w:eastAsia="zh-CN"/>
        </w:rPr>
      </w:pPr>
      <w:r>
        <w:rPr>
          <w:rFonts w:hint="eastAsia" w:ascii="Times New Roman" w:hAnsi="Times New Roman" w:eastAsia="方正黑体简体"/>
          <w:lang w:eastAsia="zh-CN"/>
        </w:rPr>
        <w:t xml:space="preserve">附表 </w:t>
      </w:r>
      <w:r>
        <w:rPr>
          <w:rFonts w:hint="eastAsia" w:ascii="Times New Roman" w:hAnsi="Times New Roman" w:eastAsia="方正黑体简体"/>
          <w:lang w:val="en-US" w:eastAsia="zh-CN"/>
        </w:rPr>
        <w:t>2</w:t>
      </w:r>
    </w:p>
    <w:p>
      <w:pPr>
        <w:pStyle w:val="3"/>
        <w:spacing w:before="54"/>
        <w:ind w:left="226"/>
        <w:rPr>
          <w:rFonts w:hint="eastAsia" w:ascii="Times New Roman" w:hAnsi="Times New Roman" w:eastAsia="方正黑体简体"/>
          <w:lang w:eastAsia="zh-CN"/>
        </w:rPr>
      </w:pPr>
    </w:p>
    <w:p>
      <w:pPr>
        <w:pStyle w:val="6"/>
        <w:rPr>
          <w:rFonts w:hint="eastAsia" w:ascii="Times New Roman" w:hAnsi="Times New Roman" w:eastAsia="方正小标宋简体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lang w:eastAsia="zh-CN"/>
        </w:rPr>
        <w:t>赤潮灾害应急监视、监测项目</w:t>
      </w:r>
    </w:p>
    <w:bookmarkEnd w:id="0"/>
    <w:p>
      <w:pPr>
        <w:pStyle w:val="6"/>
        <w:rPr>
          <w:rFonts w:hint="eastAsia" w:ascii="Times New Roman" w:hAnsi="Times New Roman" w:eastAsia="方正小标宋简体"/>
          <w:lang w:eastAsia="zh-CN"/>
        </w:rPr>
      </w:pPr>
    </w:p>
    <w:tbl>
      <w:tblPr>
        <w:tblStyle w:val="8"/>
        <w:tblW w:w="0" w:type="auto"/>
        <w:tblInd w:w="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3272"/>
        <w:gridCol w:w="3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15" w:type="dxa"/>
            <w:noWrap w:val="0"/>
            <w:vAlign w:val="top"/>
          </w:tcPr>
          <w:p>
            <w:pPr>
              <w:pStyle w:val="7"/>
              <w:spacing w:before="96"/>
              <w:ind w:left="305" w:right="2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3272" w:type="dxa"/>
            <w:noWrap w:val="0"/>
            <w:vAlign w:val="top"/>
          </w:tcPr>
          <w:p>
            <w:pPr>
              <w:pStyle w:val="7"/>
              <w:spacing w:before="96"/>
              <w:ind w:left="1316" w:right="13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内容</w:t>
            </w:r>
          </w:p>
        </w:tc>
        <w:tc>
          <w:tcPr>
            <w:tcW w:w="3752" w:type="dxa"/>
            <w:noWrap w:val="0"/>
            <w:vAlign w:val="top"/>
          </w:tcPr>
          <w:p>
            <w:pPr>
              <w:pStyle w:val="7"/>
              <w:spacing w:before="96"/>
              <w:ind w:left="1257" w:right="12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仪器及方法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15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spacing w:before="179"/>
              <w:ind w:left="305" w:right="2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现场观测</w:t>
            </w:r>
          </w:p>
        </w:tc>
        <w:tc>
          <w:tcPr>
            <w:tcW w:w="3272" w:type="dxa"/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40"/>
              </w:tabs>
              <w:spacing w:before="78"/>
              <w:ind w:hanging="1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、范围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0"/>
              </w:tabs>
              <w:spacing w:before="2"/>
              <w:ind w:hanging="1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、摄像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0"/>
              </w:tabs>
              <w:spacing w:before="2"/>
              <w:ind w:hanging="1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、色、味、嗅、漂浮物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0"/>
              </w:tabs>
              <w:spacing w:before="5"/>
              <w:ind w:hanging="1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、海况</w:t>
            </w:r>
          </w:p>
        </w:tc>
        <w:tc>
          <w:tcPr>
            <w:tcW w:w="3752" w:type="dxa"/>
            <w:noWrap w:val="0"/>
            <w:vAlign w:val="top"/>
          </w:tcPr>
          <w:p>
            <w:pPr>
              <w:pStyle w:val="7"/>
              <w:spacing w:before="78" w:line="242" w:lineRule="auto"/>
              <w:ind w:left="106" w:right="1744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1"/>
                <w:lang w:eastAsia="zh-CN"/>
              </w:rPr>
              <w:t>船舶定位，航迹推算</w:t>
            </w:r>
            <w:r>
              <w:rPr>
                <w:rFonts w:ascii="Times New Roman" w:hAnsi="Times New Roman"/>
                <w:sz w:val="21"/>
                <w:lang w:eastAsia="zh-CN"/>
              </w:rPr>
              <w:t>录像、拍照</w:t>
            </w:r>
          </w:p>
          <w:p>
            <w:pPr>
              <w:pStyle w:val="7"/>
              <w:spacing w:line="268" w:lineRule="exact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w w:val="95"/>
                <w:sz w:val="21"/>
                <w:lang w:eastAsia="zh-CN"/>
              </w:rPr>
              <w:t>目视及感官</w:t>
            </w:r>
          </w:p>
          <w:p>
            <w:pPr>
              <w:pStyle w:val="7"/>
              <w:spacing w:before="4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海浪及海流目测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615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  <w:p>
            <w:pPr>
              <w:pStyle w:val="7"/>
              <w:spacing w:before="182"/>
              <w:ind w:left="305" w:right="2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生物因子</w:t>
            </w:r>
          </w:p>
        </w:tc>
        <w:tc>
          <w:tcPr>
            <w:tcW w:w="3272" w:type="dxa"/>
            <w:noWrap w:val="0"/>
            <w:vAlign w:val="top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88"/>
              <w:ind w:hanging="1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、浮游生物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2" w:line="261" w:lineRule="exact"/>
              <w:ind w:hanging="1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4"/>
                <w:w w:val="95"/>
                <w:sz w:val="21"/>
              </w:rPr>
              <w:t>、叶绿素-</w:t>
            </w:r>
            <w:r>
              <w:rPr>
                <w:rFonts w:ascii="Times New Roman" w:hAnsi="Times New Roman"/>
                <w:spacing w:val="-16"/>
                <w:w w:val="95"/>
                <w:sz w:val="21"/>
              </w:rPr>
              <w:t>a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line="300" w:lineRule="exact"/>
              <w:ind w:hanging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1"/>
              </w:rPr>
              <w:t>、毒素及贝毒测定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752" w:type="dxa"/>
            <w:noWrap w:val="0"/>
            <w:vAlign w:val="top"/>
          </w:tcPr>
          <w:p>
            <w:pPr>
              <w:pStyle w:val="7"/>
              <w:spacing w:before="78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镜检计数法</w:t>
            </w:r>
          </w:p>
          <w:p>
            <w:pPr>
              <w:pStyle w:val="7"/>
              <w:spacing w:before="5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分光光度法或荧光分光光度法</w:t>
            </w:r>
          </w:p>
          <w:p>
            <w:pPr>
              <w:pStyle w:val="7"/>
              <w:spacing w:before="2" w:line="244" w:lineRule="auto"/>
              <w:ind w:left="106" w:right="25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w w:val="95"/>
                <w:sz w:val="21"/>
                <w:lang w:eastAsia="zh-CN"/>
              </w:rPr>
              <w:t>小鼠生物法、酶联免疫吸附法、液相色</w:t>
            </w:r>
            <w:r>
              <w:rPr>
                <w:rFonts w:ascii="Times New Roman" w:hAnsi="Times New Roman"/>
                <w:sz w:val="21"/>
                <w:lang w:eastAsia="zh-CN"/>
              </w:rPr>
              <w:t>谱法或液相色谱-串联质谱法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1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272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84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 、气压</w:t>
            </w:r>
          </w:p>
        </w:tc>
        <w:tc>
          <w:tcPr>
            <w:tcW w:w="3752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25" w:line="237" w:lineRule="exact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空盒气压表、大气压强测量仪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57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 、风速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8" w:line="237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风向、风速仪（表）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57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 、风向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8" w:line="237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风向、风速仪（表）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57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 、气温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8" w:line="230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温度计、温度测量仪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line="279" w:lineRule="exact"/>
              <w:ind w:hanging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1"/>
              </w:rPr>
              <w:t>、透明度</w:t>
            </w:r>
            <w:r>
              <w:rPr>
                <w:rFonts w:ascii="Times New Roman" w:hAnsi="Times New Roman"/>
                <w:sz w:val="24"/>
              </w:rPr>
              <w:t>*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line="291" w:lineRule="exact"/>
              <w:ind w:hanging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1"/>
              </w:rPr>
              <w:t>、水色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4" w:line="280" w:lineRule="atLeast"/>
              <w:ind w:left="106" w:right="1324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透明度盘（水下照度计）水色计比色法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66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 、水温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6" w:line="249" w:lineRule="exact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表层水温表、现场快速测定仪法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7" w:line="262" w:lineRule="exact"/>
              <w:ind w:left="305" w:right="2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环境因子</w:t>
            </w: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69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  <w:r>
              <w:rPr>
                <w:rFonts w:ascii="Times New Roman" w:hAnsi="Times New Roman"/>
                <w:spacing w:val="-40"/>
                <w:sz w:val="21"/>
              </w:rPr>
              <w:t>、</w:t>
            </w:r>
            <w:r>
              <w:rPr>
                <w:rFonts w:ascii="Times New Roman" w:hAnsi="Times New Roman"/>
                <w:sz w:val="21"/>
              </w:rPr>
              <w:t>pH 值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8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pH 计法、现场快速测定仪法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44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 、盐度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44" w:lineRule="exact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盐度计法、现场快速测定仪法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1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58" w:lineRule="exact"/>
              <w:ind w:left="1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pacing w:val="-16"/>
                <w:sz w:val="21"/>
              </w:rPr>
              <w:t>、溶解氧</w:t>
            </w:r>
          </w:p>
        </w:tc>
        <w:tc>
          <w:tcPr>
            <w:tcW w:w="37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6" w:line="242" w:lineRule="exact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碘量法、现场快速测定仪法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61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272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line="291" w:lineRule="exact"/>
              <w:ind w:left="107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11</w:t>
            </w:r>
            <w:r>
              <w:rPr>
                <w:rFonts w:ascii="Times New Roman" w:hAnsi="Times New Roman"/>
                <w:spacing w:val="-13"/>
                <w:sz w:val="21"/>
                <w:lang w:eastAsia="zh-CN"/>
              </w:rPr>
              <w:t>、化学需氧量</w:t>
            </w:r>
            <w:r>
              <w:rPr>
                <w:rFonts w:ascii="Times New Roman" w:hAnsi="Times New Roman"/>
                <w:sz w:val="24"/>
                <w:lang w:eastAsia="zh-CN"/>
              </w:rPr>
              <w:t>*</w:t>
            </w:r>
          </w:p>
          <w:p>
            <w:pPr>
              <w:pStyle w:val="7"/>
              <w:spacing w:line="296" w:lineRule="exact"/>
              <w:ind w:left="107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12</w:t>
            </w:r>
            <w:r>
              <w:rPr>
                <w:rFonts w:ascii="Times New Roman" w:hAnsi="Times New Roman"/>
                <w:spacing w:val="-13"/>
                <w:sz w:val="21"/>
                <w:lang w:eastAsia="zh-CN"/>
              </w:rPr>
              <w:t>、活性磷酸盐</w:t>
            </w:r>
            <w:r>
              <w:rPr>
                <w:rFonts w:ascii="Times New Roman" w:hAnsi="Times New Roman"/>
                <w:sz w:val="24"/>
                <w:lang w:eastAsia="zh-CN"/>
              </w:rPr>
              <w:t>*</w:t>
            </w:r>
          </w:p>
          <w:p>
            <w:pPr>
              <w:pStyle w:val="7"/>
              <w:spacing w:line="296" w:lineRule="exact"/>
              <w:ind w:left="107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13</w:t>
            </w:r>
            <w:r>
              <w:rPr>
                <w:rFonts w:ascii="Times New Roman" w:hAnsi="Times New Roman"/>
                <w:spacing w:val="-14"/>
                <w:sz w:val="21"/>
                <w:lang w:eastAsia="zh-CN"/>
              </w:rPr>
              <w:t>、亚硝酸盐</w:t>
            </w:r>
            <w:r>
              <w:rPr>
                <w:rFonts w:ascii="Times New Roman" w:hAnsi="Times New Roman"/>
                <w:sz w:val="24"/>
                <w:lang w:eastAsia="zh-CN"/>
              </w:rPr>
              <w:t>*</w:t>
            </w:r>
          </w:p>
          <w:p>
            <w:pPr>
              <w:pStyle w:val="7"/>
              <w:spacing w:line="298" w:lineRule="exact"/>
              <w:ind w:left="107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14</w:t>
            </w:r>
            <w:r>
              <w:rPr>
                <w:rFonts w:ascii="Times New Roman" w:hAnsi="Times New Roman"/>
                <w:spacing w:val="-16"/>
                <w:sz w:val="21"/>
                <w:lang w:eastAsia="zh-CN"/>
              </w:rPr>
              <w:t>、硝酸盐</w:t>
            </w:r>
            <w:r>
              <w:rPr>
                <w:rFonts w:ascii="Times New Roman" w:hAnsi="Times New Roman"/>
                <w:sz w:val="24"/>
                <w:lang w:eastAsia="zh-CN"/>
              </w:rPr>
              <w:t>*</w:t>
            </w:r>
          </w:p>
          <w:p>
            <w:pPr>
              <w:pStyle w:val="7"/>
              <w:spacing w:line="303" w:lineRule="exact"/>
              <w:ind w:left="107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15</w:t>
            </w:r>
            <w:r>
              <w:rPr>
                <w:rFonts w:ascii="Times New Roman" w:hAnsi="Times New Roman"/>
                <w:spacing w:val="-20"/>
                <w:sz w:val="21"/>
                <w:lang w:eastAsia="zh-CN"/>
              </w:rPr>
              <w:t>、氨氮</w:t>
            </w:r>
            <w:r>
              <w:rPr>
                <w:rFonts w:ascii="Times New Roman" w:hAnsi="Times New Roman"/>
                <w:sz w:val="24"/>
                <w:lang w:eastAsia="zh-CN"/>
              </w:rPr>
              <w:t>*</w:t>
            </w:r>
          </w:p>
        </w:tc>
        <w:tc>
          <w:tcPr>
            <w:tcW w:w="3752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23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碱性高锰酸钾法</w:t>
            </w:r>
          </w:p>
          <w:p>
            <w:pPr>
              <w:pStyle w:val="7"/>
              <w:spacing w:before="17" w:line="256" w:lineRule="auto"/>
              <w:ind w:left="106" w:right="484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磷钼蓝分光光度法、流动分析法</w:t>
            </w:r>
            <w:r>
              <w:rPr>
                <w:rFonts w:ascii="Times New Roman" w:hAnsi="Times New Roman"/>
                <w:w w:val="95"/>
                <w:sz w:val="21"/>
                <w:lang w:eastAsia="zh-CN"/>
              </w:rPr>
              <w:t>萘乙二胺分光光度法、流动分析法</w:t>
            </w:r>
            <w:r>
              <w:rPr>
                <w:rFonts w:ascii="Times New Roman" w:hAnsi="Times New Roman"/>
                <w:sz w:val="21"/>
                <w:lang w:eastAsia="zh-CN"/>
              </w:rPr>
              <w:t>锌镉还原法、流动分析法</w:t>
            </w:r>
          </w:p>
          <w:p>
            <w:pPr>
              <w:pStyle w:val="7"/>
              <w:spacing w:line="265" w:lineRule="exact"/>
              <w:ind w:left="106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次溴酸盐氧化法、流动分析法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15" w:type="dxa"/>
            <w:noWrap w:val="0"/>
            <w:vAlign w:val="top"/>
          </w:tcPr>
          <w:p>
            <w:pPr>
              <w:pStyle w:val="7"/>
              <w:spacing w:before="12"/>
              <w:rPr>
                <w:rFonts w:ascii="Times New Roman" w:hAnsi="Times New Roman"/>
                <w:sz w:val="16"/>
                <w:lang w:eastAsia="zh-CN"/>
              </w:rPr>
            </w:pPr>
          </w:p>
          <w:p>
            <w:pPr>
              <w:pStyle w:val="7"/>
              <w:ind w:left="305" w:right="2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其它项目</w:t>
            </w:r>
          </w:p>
        </w:tc>
        <w:tc>
          <w:tcPr>
            <w:tcW w:w="3272" w:type="dxa"/>
            <w:noWrap w:val="0"/>
            <w:vAlign w:val="top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240"/>
              </w:tabs>
              <w:spacing w:before="49" w:line="295" w:lineRule="exact"/>
              <w:ind w:hanging="133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、赤潮灾害范围的大尺度分析</w:t>
            </w:r>
            <w:r>
              <w:rPr>
                <w:rFonts w:ascii="Times New Roman" w:hAnsi="Times New Roman"/>
                <w:sz w:val="24"/>
                <w:lang w:eastAsia="zh-CN"/>
              </w:rPr>
              <w:t>*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0"/>
              </w:tabs>
              <w:spacing w:line="295" w:lineRule="exact"/>
              <w:ind w:hanging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1"/>
              </w:rPr>
              <w:t>、光谱分析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752" w:type="dxa"/>
            <w:noWrap w:val="0"/>
            <w:vAlign w:val="top"/>
          </w:tcPr>
          <w:p>
            <w:pPr>
              <w:pStyle w:val="7"/>
              <w:spacing w:before="79" w:line="242" w:lineRule="auto"/>
              <w:ind w:left="106" w:right="1324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卫星图片的综合处理分析光谱仪</w:t>
            </w:r>
          </w:p>
        </w:tc>
      </w:tr>
    </w:tbl>
    <w:p>
      <w:pPr>
        <w:spacing w:before="120"/>
        <w:ind w:left="706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注：*必要时选做。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E104B"/>
    <w:multiLevelType w:val="multilevel"/>
    <w:tmpl w:val="025E104B"/>
    <w:lvl w:ilvl="0" w:tentative="0">
      <w:start w:val="5"/>
      <w:numFmt w:val="decimal"/>
      <w:lvlText w:val="%1"/>
      <w:lvlJc w:val="left"/>
      <w:pPr>
        <w:ind w:left="239" w:hanging="132"/>
      </w:pPr>
      <w:rPr>
        <w:rFonts w:hint="default" w:ascii="宋体" w:hAnsi="宋体" w:eastAsia="宋体" w:cs="宋体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542" w:hanging="13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4" w:hanging="13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6" w:hanging="13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48" w:hanging="13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51" w:hanging="13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053" w:hanging="13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355" w:hanging="13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657" w:hanging="132"/>
      </w:pPr>
      <w:rPr>
        <w:rFonts w:hint="default"/>
      </w:rPr>
    </w:lvl>
  </w:abstractNum>
  <w:abstractNum w:abstractNumId="1">
    <w:nsid w:val="1FBD5AF4"/>
    <w:multiLevelType w:val="multilevel"/>
    <w:tmpl w:val="1FBD5AF4"/>
    <w:lvl w:ilvl="0" w:tentative="0">
      <w:start w:val="1"/>
      <w:numFmt w:val="decimal"/>
      <w:lvlText w:val="%1"/>
      <w:lvlJc w:val="left"/>
      <w:pPr>
        <w:ind w:left="239" w:hanging="132"/>
      </w:pPr>
      <w:rPr>
        <w:rFonts w:hint="default" w:ascii="宋体" w:hAnsi="宋体" w:eastAsia="宋体" w:cs="宋体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542" w:hanging="13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4" w:hanging="13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6" w:hanging="13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48" w:hanging="13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51" w:hanging="13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053" w:hanging="13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355" w:hanging="13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657" w:hanging="132"/>
      </w:pPr>
      <w:rPr>
        <w:rFonts w:hint="default"/>
      </w:rPr>
    </w:lvl>
  </w:abstractNum>
  <w:abstractNum w:abstractNumId="2">
    <w:nsid w:val="46B310FA"/>
    <w:multiLevelType w:val="multilevel"/>
    <w:tmpl w:val="46B310FA"/>
    <w:lvl w:ilvl="0" w:tentative="0">
      <w:start w:val="1"/>
      <w:numFmt w:val="decimal"/>
      <w:lvlText w:val="%1"/>
      <w:lvlJc w:val="left"/>
      <w:pPr>
        <w:ind w:left="239" w:hanging="132"/>
      </w:pPr>
      <w:rPr>
        <w:rFonts w:hint="default" w:ascii="宋体" w:hAnsi="宋体" w:eastAsia="宋体" w:cs="宋体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542" w:hanging="13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4" w:hanging="13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6" w:hanging="13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48" w:hanging="13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51" w:hanging="13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053" w:hanging="13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355" w:hanging="13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657" w:hanging="132"/>
      </w:pPr>
      <w:rPr>
        <w:rFonts w:hint="default"/>
      </w:rPr>
    </w:lvl>
  </w:abstractNum>
  <w:abstractNum w:abstractNumId="3">
    <w:nsid w:val="5E2B71D6"/>
    <w:multiLevelType w:val="multilevel"/>
    <w:tmpl w:val="5E2B71D6"/>
    <w:lvl w:ilvl="0" w:tentative="0">
      <w:start w:val="1"/>
      <w:numFmt w:val="decimal"/>
      <w:lvlText w:val="%1"/>
      <w:lvlJc w:val="left"/>
      <w:pPr>
        <w:ind w:left="239" w:hanging="132"/>
      </w:pPr>
      <w:rPr>
        <w:rFonts w:hint="default" w:ascii="宋体" w:hAnsi="宋体" w:eastAsia="宋体" w:cs="宋体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542" w:hanging="13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4" w:hanging="13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6" w:hanging="13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48" w:hanging="13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51" w:hanging="13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053" w:hanging="13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355" w:hanging="13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657" w:hanging="1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1F0B6C9B"/>
    <w:rsid w:val="00847767"/>
    <w:rsid w:val="085E0A27"/>
    <w:rsid w:val="0F8C5DA4"/>
    <w:rsid w:val="1B9E2734"/>
    <w:rsid w:val="1F0B6C9B"/>
    <w:rsid w:val="2A8F1762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32"/>
      <w:szCs w:val="32"/>
      <w:lang w:val="en-US" w:eastAsia="en-US" w:bidi="ar-SA"/>
    </w:rPr>
  </w:style>
  <w:style w:type="paragraph" w:customStyle="1" w:styleId="6">
    <w:name w:val="标题 11"/>
    <w:qFormat/>
    <w:uiPriority w:val="1"/>
    <w:pPr>
      <w:widowControl w:val="0"/>
      <w:autoSpaceDE w:val="0"/>
      <w:autoSpaceDN w:val="0"/>
      <w:spacing w:before="38"/>
      <w:ind w:left="341" w:right="508"/>
      <w:jc w:val="center"/>
      <w:outlineLvl w:val="1"/>
    </w:pPr>
    <w:rPr>
      <w:rFonts w:ascii="宋体" w:hAnsi="宋体" w:eastAsia="宋体" w:cs="宋体"/>
      <w:sz w:val="44"/>
      <w:szCs w:val="44"/>
      <w:lang w:val="en-US" w:eastAsia="en-US" w:bidi="ar-SA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176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2023-07-17T02:27:00Z</dcterms:created>
  <dc:creator>admin</dc:creator>
  <cp:lastModifiedBy>admin</cp:lastModifiedBy>
  <dcterms:modified xsi:type="dcterms:W3CDTF">2023-07-17T02:30:04Z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2B4228E20B334F7690D2519795C2B59C_13</vt:lpwstr>
  </property>
</Properties>
</file>